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637BA">
      <w:pPr>
        <w:pStyle w:val="Date"/>
        <w:rPr>
          <w:sz w:val="24"/>
        </w:rPr>
      </w:pPr>
      <w:r>
        <w:rPr>
          <w:sz w:val="24"/>
        </w:rPr>
        <w:t>August 10,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637BA" w:rsidP="000E1755">
      <w:pPr>
        <w:pStyle w:val="InsideAddressName"/>
        <w:rPr>
          <w:sz w:val="24"/>
        </w:rPr>
      </w:pPr>
      <w:r>
        <w:rPr>
          <w:sz w:val="24"/>
        </w:rPr>
        <w:t>Ronald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637BA">
        <w:rPr>
          <w:b/>
          <w:sz w:val="24"/>
          <w:szCs w:val="24"/>
        </w:rPr>
        <w:t xml:space="preserve">Tract </w:t>
      </w:r>
      <w:r w:rsidR="00F5391C">
        <w:rPr>
          <w:b/>
          <w:sz w:val="24"/>
          <w:szCs w:val="24"/>
        </w:rPr>
        <w:t>2</w:t>
      </w:r>
      <w:r w:rsidR="00A637BA">
        <w:rPr>
          <w:b/>
          <w:sz w:val="24"/>
          <w:szCs w:val="24"/>
        </w:rPr>
        <w:t>A</w:t>
      </w:r>
      <w:r w:rsidR="00F5391C">
        <w:rPr>
          <w:b/>
          <w:sz w:val="24"/>
          <w:szCs w:val="24"/>
        </w:rPr>
        <w:t>1B</w:t>
      </w:r>
      <w:bookmarkStart w:id="0" w:name="_GoBack"/>
      <w:bookmarkEnd w:id="0"/>
      <w:r w:rsidR="00A637BA">
        <w:rPr>
          <w:b/>
          <w:sz w:val="24"/>
          <w:szCs w:val="24"/>
        </w:rPr>
        <w:t xml:space="preserve"> Renaissance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637BA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A637BA">
        <w:rPr>
          <w:b/>
          <w:sz w:val="24"/>
          <w:szCs w:val="24"/>
        </w:rPr>
        <w:t>31</w:t>
      </w:r>
      <w:r w:rsidR="00545FA6">
        <w:rPr>
          <w:b/>
          <w:sz w:val="24"/>
          <w:szCs w:val="24"/>
        </w:rPr>
        <w:t>-1</w:t>
      </w:r>
      <w:r w:rsidR="00A637BA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A637BA">
        <w:rPr>
          <w:b/>
          <w:sz w:val="24"/>
          <w:szCs w:val="24"/>
        </w:rPr>
        <w:t>F16E013A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637BA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637BA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A637BA">
        <w:rPr>
          <w:sz w:val="24"/>
          <w:szCs w:val="24"/>
        </w:rPr>
        <w:t>31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637BA">
        <w:rPr>
          <w:sz w:val="24"/>
          <w:szCs w:val="24"/>
        </w:rPr>
        <w:t xml:space="preserve">is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A637BA">
        <w:rPr>
          <w:sz w:val="24"/>
          <w:szCs w:val="24"/>
        </w:rPr>
        <w:t>once Hydrology has approved the grading plan with the following informational comments:</w:t>
      </w:r>
    </w:p>
    <w:p w:rsidR="00805E83" w:rsidRPr="00805E83" w:rsidRDefault="00805E83" w:rsidP="00805E83">
      <w:pPr>
        <w:rPr>
          <w:sz w:val="24"/>
          <w:szCs w:val="24"/>
        </w:rPr>
      </w:pPr>
    </w:p>
    <w:p w:rsidR="00805E83" w:rsidRDefault="00805E83" w:rsidP="00805E8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05E83">
        <w:rPr>
          <w:sz w:val="24"/>
          <w:szCs w:val="24"/>
        </w:rPr>
        <w:t xml:space="preserve"> </w:t>
      </w:r>
      <w:r w:rsidR="00A637BA">
        <w:rPr>
          <w:sz w:val="24"/>
          <w:szCs w:val="24"/>
        </w:rPr>
        <w:t>For the construction entrance, consider using 3”-6” stone rather than 2”-3” stone.  The larger size will create more bounce.</w:t>
      </w:r>
    </w:p>
    <w:p w:rsidR="00A637BA" w:rsidRPr="00805E83" w:rsidRDefault="00A637BA" w:rsidP="00805E8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wattle may work better than silt fence for inlet protection as it is more permeable.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32D78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3F39A8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32D78"/>
    <w:rsid w:val="006928E9"/>
    <w:rsid w:val="0069738B"/>
    <w:rsid w:val="00731FE7"/>
    <w:rsid w:val="007A5074"/>
    <w:rsid w:val="007B0231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637B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5391C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2015-08-10T21:55:00Z</cp:lastPrinted>
  <dcterms:created xsi:type="dcterms:W3CDTF">2015-08-10T21:46:00Z</dcterms:created>
  <dcterms:modified xsi:type="dcterms:W3CDTF">2015-08-10T22:07:00Z</dcterms:modified>
</cp:coreProperties>
</file>