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84" w:rsidRPr="00072638" w:rsidRDefault="00730168">
      <w:pPr>
        <w:rPr>
          <w:b/>
          <w:u w:val="single"/>
        </w:rPr>
      </w:pPr>
      <w:r w:rsidRPr="00072638">
        <w:rPr>
          <w:b/>
          <w:u w:val="single"/>
        </w:rPr>
        <w:t>Summary of Findings for the Amole Del Norte Dam</w:t>
      </w:r>
      <w:r w:rsidR="00920FBD">
        <w:rPr>
          <w:b/>
          <w:u w:val="single"/>
        </w:rPr>
        <w:t xml:space="preserve"> and the </w:t>
      </w:r>
      <w:r w:rsidRPr="00072638">
        <w:rPr>
          <w:b/>
          <w:u w:val="single"/>
        </w:rPr>
        <w:t>98</w:t>
      </w:r>
      <w:r w:rsidRPr="00072638">
        <w:rPr>
          <w:b/>
          <w:u w:val="single"/>
          <w:vertAlign w:val="superscript"/>
        </w:rPr>
        <w:t>th</w:t>
      </w:r>
      <w:r w:rsidRPr="00072638">
        <w:rPr>
          <w:b/>
          <w:u w:val="single"/>
        </w:rPr>
        <w:t xml:space="preserve"> and Central</w:t>
      </w:r>
      <w:r w:rsidR="00920FBD">
        <w:rPr>
          <w:b/>
          <w:u w:val="single"/>
        </w:rPr>
        <w:t xml:space="preserve"> Basin</w:t>
      </w:r>
      <w:r w:rsidR="00821976">
        <w:rPr>
          <w:b/>
          <w:u w:val="single"/>
        </w:rPr>
        <w:t xml:space="preserve"> (9-25-2015</w:t>
      </w:r>
      <w:proofErr w:type="gramStart"/>
      <w:r w:rsidR="00821976">
        <w:rPr>
          <w:b/>
          <w:u w:val="single"/>
        </w:rPr>
        <w:t xml:space="preserve">) </w:t>
      </w:r>
      <w:r w:rsidRPr="00072638">
        <w:rPr>
          <w:b/>
          <w:u w:val="single"/>
        </w:rPr>
        <w:t>:</w:t>
      </w:r>
      <w:proofErr w:type="gramEnd"/>
    </w:p>
    <w:p w:rsidR="00730168" w:rsidRPr="00890E8A" w:rsidRDefault="00730168" w:rsidP="00730168">
      <w:pPr>
        <w:pStyle w:val="ListParagraph"/>
        <w:numPr>
          <w:ilvl w:val="0"/>
          <w:numId w:val="1"/>
        </w:numPr>
      </w:pPr>
      <w:r w:rsidRPr="00890E8A">
        <w:t xml:space="preserve">Dams consist of 2 </w:t>
      </w:r>
      <w:r w:rsidR="00890E8A" w:rsidRPr="00890E8A">
        <w:t xml:space="preserve">interconnected </w:t>
      </w:r>
      <w:r w:rsidRPr="00890E8A">
        <w:t>ponds, a</w:t>
      </w:r>
      <w:r w:rsidR="00890E8A" w:rsidRPr="00890E8A">
        <w:t xml:space="preserve"> north pond and a south pond. </w:t>
      </w:r>
    </w:p>
    <w:p w:rsidR="00890E8A" w:rsidRPr="00890E8A" w:rsidRDefault="00F51DB0" w:rsidP="00890E8A">
      <w:pPr>
        <w:pStyle w:val="ListParagraph"/>
        <w:numPr>
          <w:ilvl w:val="1"/>
          <w:numId w:val="1"/>
        </w:numPr>
      </w:pPr>
      <w:r>
        <w:t>30” p</w:t>
      </w:r>
      <w:r w:rsidR="00890E8A" w:rsidRPr="00890E8A">
        <w:t>ipe between both ponds</w:t>
      </w:r>
    </w:p>
    <w:p w:rsidR="00890E8A" w:rsidRDefault="00890E8A" w:rsidP="00890E8A">
      <w:pPr>
        <w:pStyle w:val="ListParagraph"/>
        <w:numPr>
          <w:ilvl w:val="1"/>
          <w:numId w:val="1"/>
        </w:numPr>
      </w:pPr>
      <w:r w:rsidRPr="00890E8A">
        <w:t>36” discharge pipe out of South Pond</w:t>
      </w:r>
      <w:r w:rsidR="00471B63">
        <w:t xml:space="preserve"> to the City SD system</w:t>
      </w:r>
    </w:p>
    <w:p w:rsidR="00C76DEE" w:rsidRDefault="00471B63" w:rsidP="00890E8A">
      <w:pPr>
        <w:pStyle w:val="ListParagraph"/>
        <w:numPr>
          <w:ilvl w:val="1"/>
          <w:numId w:val="1"/>
        </w:numPr>
      </w:pPr>
      <w:r>
        <w:t>An 84” inch pipe discharges directly to the South pond (335 cfs</w:t>
      </w:r>
      <w:r w:rsidR="00E41093">
        <w:t xml:space="preserve"> per the </w:t>
      </w:r>
      <w:r w:rsidR="00C76DEE" w:rsidRPr="00E41093">
        <w:rPr>
          <w:i/>
          <w:u w:val="single"/>
        </w:rPr>
        <w:t>T.B. Phase IIIC report</w:t>
      </w:r>
      <w:r w:rsidR="00E41093">
        <w:rPr>
          <w:i/>
          <w:u w:val="single"/>
        </w:rPr>
        <w:t xml:space="preserve"> (1995)</w:t>
      </w:r>
      <w:r w:rsidR="00E41093">
        <w:t xml:space="preserve"> ; collects flows from basins along the </w:t>
      </w:r>
      <w:r w:rsidR="00C76DEE">
        <w:t>west side of 98</w:t>
      </w:r>
      <w:r w:rsidR="00C76DEE" w:rsidRPr="00C76DEE">
        <w:rPr>
          <w:vertAlign w:val="superscript"/>
        </w:rPr>
        <w:t>th</w:t>
      </w:r>
      <w:r w:rsidR="00C76DEE">
        <w:t xml:space="preserve"> St.)</w:t>
      </w:r>
    </w:p>
    <w:p w:rsidR="00A549EE" w:rsidRDefault="00E41093" w:rsidP="00890E8A">
      <w:pPr>
        <w:pStyle w:val="ListParagraph"/>
        <w:numPr>
          <w:ilvl w:val="1"/>
          <w:numId w:val="1"/>
        </w:numPr>
      </w:pPr>
      <w:r>
        <w:t>Basins South of Volcano</w:t>
      </w:r>
      <w:r w:rsidR="00C76DEE">
        <w:t xml:space="preserve"> discharge directly to South Pond</w:t>
      </w:r>
    </w:p>
    <w:p w:rsidR="009C7DAD" w:rsidRDefault="009C7DAD" w:rsidP="009C7DAD">
      <w:pPr>
        <w:pStyle w:val="ListParagraph"/>
      </w:pPr>
    </w:p>
    <w:p w:rsidR="00730168" w:rsidRPr="00890E8A" w:rsidRDefault="00730168" w:rsidP="00730168">
      <w:pPr>
        <w:pStyle w:val="ListParagraph"/>
        <w:numPr>
          <w:ilvl w:val="0"/>
          <w:numId w:val="1"/>
        </w:numPr>
      </w:pPr>
      <w:r w:rsidRPr="00890E8A">
        <w:t xml:space="preserve">Dams were designed and sized based on </w:t>
      </w:r>
      <w:r w:rsidRPr="00890E8A">
        <w:rPr>
          <w:i/>
          <w:u w:val="single"/>
        </w:rPr>
        <w:t xml:space="preserve">the Tierra </w:t>
      </w:r>
      <w:proofErr w:type="spellStart"/>
      <w:r w:rsidRPr="00890E8A">
        <w:rPr>
          <w:i/>
          <w:u w:val="single"/>
        </w:rPr>
        <w:t>Bayita</w:t>
      </w:r>
      <w:proofErr w:type="spellEnd"/>
      <w:r w:rsidRPr="00890E8A">
        <w:rPr>
          <w:i/>
          <w:u w:val="single"/>
        </w:rPr>
        <w:t xml:space="preserve"> Drainage Facilities  PHASE IIIC - Design Report for Amole Del Norte Storm Diversion Facilities, 1995 by Greiner</w:t>
      </w:r>
      <w:r w:rsidR="006C125B">
        <w:rPr>
          <w:i/>
          <w:u w:val="single"/>
        </w:rPr>
        <w:t xml:space="preserve">  [T.B. Phase IIIC</w:t>
      </w:r>
      <w:r w:rsidR="00D75EFB">
        <w:rPr>
          <w:i/>
          <w:u w:val="single"/>
        </w:rPr>
        <w:t xml:space="preserve"> </w:t>
      </w:r>
      <w:r w:rsidR="006C125B">
        <w:rPr>
          <w:i/>
          <w:u w:val="single"/>
        </w:rPr>
        <w:t>(</w:t>
      </w:r>
      <w:r w:rsidR="00D75EFB">
        <w:rPr>
          <w:i/>
          <w:u w:val="single"/>
        </w:rPr>
        <w:t>1995</w:t>
      </w:r>
      <w:r w:rsidR="006C125B">
        <w:rPr>
          <w:i/>
          <w:u w:val="single"/>
        </w:rPr>
        <w:t>)</w:t>
      </w:r>
      <w:r w:rsidR="00D75EFB">
        <w:rPr>
          <w:i/>
          <w:u w:val="single"/>
        </w:rPr>
        <w:t>]</w:t>
      </w:r>
    </w:p>
    <w:p w:rsidR="00730168" w:rsidRPr="00890E8A" w:rsidRDefault="00730168" w:rsidP="00730168">
      <w:pPr>
        <w:pStyle w:val="ListParagraph"/>
        <w:numPr>
          <w:ilvl w:val="1"/>
          <w:numId w:val="1"/>
        </w:numPr>
      </w:pPr>
      <w:r w:rsidRPr="00890E8A">
        <w:t xml:space="preserve">Application for Dam permit states:  </w:t>
      </w:r>
    </w:p>
    <w:p w:rsidR="00730168" w:rsidRDefault="00730168" w:rsidP="00730168">
      <w:pPr>
        <w:pStyle w:val="ListParagraph"/>
        <w:numPr>
          <w:ilvl w:val="2"/>
          <w:numId w:val="1"/>
        </w:numPr>
      </w:pPr>
      <w:r w:rsidRPr="00890E8A">
        <w:t xml:space="preserve">98cfs discharge capacity out of the South </w:t>
      </w:r>
      <w:r w:rsidR="00890E8A" w:rsidRPr="00890E8A">
        <w:t xml:space="preserve">Pond.  </w:t>
      </w:r>
      <w:r w:rsidR="00E25167">
        <w:t xml:space="preserve">(ultimate </w:t>
      </w:r>
      <w:proofErr w:type="spellStart"/>
      <w:r w:rsidR="00E25167">
        <w:t>cond</w:t>
      </w:r>
      <w:proofErr w:type="spellEnd"/>
      <w:r w:rsidR="00E25167">
        <w:t>) (</w:t>
      </w:r>
      <w:r w:rsidR="00E41093">
        <w:t xml:space="preserve">97 cfs on </w:t>
      </w:r>
      <w:r w:rsidR="00E25167">
        <w:t xml:space="preserve">AHYMO output) </w:t>
      </w:r>
    </w:p>
    <w:p w:rsidR="00F51DB0" w:rsidRPr="00890E8A" w:rsidRDefault="00F51DB0" w:rsidP="00730168">
      <w:pPr>
        <w:pStyle w:val="ListParagraph"/>
        <w:numPr>
          <w:ilvl w:val="2"/>
          <w:numId w:val="1"/>
        </w:numPr>
      </w:pPr>
      <w:r>
        <w:t>70 cfs discharge capacity out of the North Pond</w:t>
      </w:r>
    </w:p>
    <w:p w:rsidR="00890E8A" w:rsidRPr="00890E8A" w:rsidRDefault="00890E8A" w:rsidP="00730168">
      <w:pPr>
        <w:pStyle w:val="ListParagraph"/>
        <w:numPr>
          <w:ilvl w:val="2"/>
          <w:numId w:val="1"/>
        </w:numPr>
      </w:pPr>
      <w:proofErr w:type="spellStart"/>
      <w:r w:rsidRPr="00890E8A">
        <w:t>S.Pond</w:t>
      </w:r>
      <w:proofErr w:type="spellEnd"/>
      <w:r w:rsidRPr="00890E8A">
        <w:t>:  Spillway elevation = 5212, Storage Capacity = 31.465 Ac. -Ft</w:t>
      </w:r>
    </w:p>
    <w:p w:rsidR="00885B2E" w:rsidRDefault="00890E8A" w:rsidP="00885B2E">
      <w:pPr>
        <w:pStyle w:val="ListParagraph"/>
        <w:numPr>
          <w:ilvl w:val="2"/>
          <w:numId w:val="1"/>
        </w:numPr>
      </w:pPr>
      <w:r w:rsidRPr="00890E8A">
        <w:t xml:space="preserve"> </w:t>
      </w:r>
      <w:proofErr w:type="spellStart"/>
      <w:r w:rsidRPr="00890E8A">
        <w:t>N.Pond</w:t>
      </w:r>
      <w:proofErr w:type="spellEnd"/>
      <w:r w:rsidRPr="00890E8A">
        <w:t>:   Spillway elevation = 52</w:t>
      </w:r>
      <w:r>
        <w:t>23</w:t>
      </w:r>
      <w:r w:rsidRPr="00890E8A">
        <w:t xml:space="preserve">, Storage Capacity = </w:t>
      </w:r>
      <w:r>
        <w:t>46.197</w:t>
      </w:r>
      <w:r w:rsidRPr="00890E8A">
        <w:t xml:space="preserve"> Ac. </w:t>
      </w:r>
      <w:r w:rsidR="00885B2E">
        <w:t>–F</w:t>
      </w:r>
    </w:p>
    <w:p w:rsidR="008C65E7" w:rsidRDefault="008C65E7" w:rsidP="00885B2E">
      <w:pPr>
        <w:pStyle w:val="ListParagraph"/>
        <w:numPr>
          <w:ilvl w:val="1"/>
          <w:numId w:val="1"/>
        </w:numPr>
      </w:pPr>
      <w:r>
        <w:t xml:space="preserve">The </w:t>
      </w:r>
      <w:r w:rsidR="00165D59">
        <w:t>discharge</w:t>
      </w:r>
      <w:r w:rsidR="00791B5E">
        <w:t xml:space="preserve"> directly </w:t>
      </w:r>
      <w:r w:rsidR="00165D59">
        <w:t xml:space="preserve">into the North </w:t>
      </w:r>
      <w:r w:rsidR="00791B5E">
        <w:t xml:space="preserve">Pond is 1495 cfs, and 765 cfs into the South Pond, total area of analysis being </w:t>
      </w:r>
      <w:r w:rsidR="00471B63">
        <w:t>1.06 SQ. Mi.  (Ultimate condition)</w:t>
      </w:r>
    </w:p>
    <w:p w:rsidR="00885B2E" w:rsidRDefault="00885B2E" w:rsidP="00885B2E">
      <w:pPr>
        <w:pStyle w:val="ListParagraph"/>
        <w:numPr>
          <w:ilvl w:val="1"/>
          <w:numId w:val="1"/>
        </w:numPr>
      </w:pPr>
      <w:r>
        <w:t xml:space="preserve">An orifice plate was installed in the South Pond outfall to limit the discharge to 13 cfs, the capacity of downstream </w:t>
      </w:r>
      <w:r w:rsidR="00E41093">
        <w:t>culverts</w:t>
      </w:r>
      <w:r>
        <w:t>.  Orifice plate was intended to be removed after downst</w:t>
      </w:r>
      <w:r w:rsidR="00EE526A">
        <w:t>r</w:t>
      </w:r>
      <w:r>
        <w:t>eam culverts were upsized with PHASE IIID</w:t>
      </w:r>
    </w:p>
    <w:p w:rsidR="00902227" w:rsidRDefault="00E25167" w:rsidP="00E25167">
      <w:pPr>
        <w:pStyle w:val="ListParagraph"/>
        <w:numPr>
          <w:ilvl w:val="1"/>
          <w:numId w:val="1"/>
        </w:numPr>
      </w:pPr>
      <w:r>
        <w:t xml:space="preserve">Basins include 2 basins north of I-40.  </w:t>
      </w:r>
      <w:r w:rsidR="00E41093">
        <w:t xml:space="preserve">5 % </w:t>
      </w:r>
      <w:r>
        <w:t xml:space="preserve">Bulking factors were included. </w:t>
      </w:r>
    </w:p>
    <w:p w:rsidR="00E25167" w:rsidRDefault="00902227" w:rsidP="00E25167">
      <w:pPr>
        <w:pStyle w:val="ListParagraph"/>
        <w:numPr>
          <w:ilvl w:val="1"/>
          <w:numId w:val="1"/>
        </w:numPr>
      </w:pPr>
      <w:r>
        <w:t xml:space="preserve">Land treatments used </w:t>
      </w:r>
      <w:r w:rsidR="00EE526A">
        <w:t xml:space="preserve">averaged </w:t>
      </w:r>
      <w:r>
        <w:t xml:space="preserve">65%D for 108 numbered basins,   </w:t>
      </w:r>
      <w:proofErr w:type="gramStart"/>
      <w:r>
        <w:t>and  85</w:t>
      </w:r>
      <w:proofErr w:type="gramEnd"/>
      <w:r>
        <w:t>%</w:t>
      </w:r>
      <w:r w:rsidR="002A5CB0">
        <w:t xml:space="preserve"> </w:t>
      </w:r>
      <w:r>
        <w:t xml:space="preserve">D for 109 numbered basins.  </w:t>
      </w:r>
      <w:r w:rsidR="008C65E7">
        <w:t xml:space="preserve">Note: 108 numbered basins are generally in the County. </w:t>
      </w:r>
    </w:p>
    <w:p w:rsidR="009C7DAD" w:rsidRDefault="009C7DAD" w:rsidP="009C7DAD">
      <w:pPr>
        <w:pStyle w:val="ListParagraph"/>
        <w:ind w:left="1440"/>
      </w:pPr>
    </w:p>
    <w:p w:rsidR="00885B2E" w:rsidRDefault="00E25167" w:rsidP="00885B2E">
      <w:pPr>
        <w:pStyle w:val="ListParagraph"/>
        <w:numPr>
          <w:ilvl w:val="0"/>
          <w:numId w:val="1"/>
        </w:numPr>
      </w:pPr>
      <w:r>
        <w:t xml:space="preserve">The </w:t>
      </w:r>
      <w:r w:rsidRPr="00E25167">
        <w:rPr>
          <w:i/>
          <w:u w:val="single"/>
        </w:rPr>
        <w:t xml:space="preserve">Tierra </w:t>
      </w:r>
      <w:proofErr w:type="spellStart"/>
      <w:r w:rsidRPr="00E25167">
        <w:rPr>
          <w:i/>
          <w:u w:val="single"/>
        </w:rPr>
        <w:t>Bayita</w:t>
      </w:r>
      <w:proofErr w:type="spellEnd"/>
      <w:r w:rsidRPr="00E25167">
        <w:rPr>
          <w:i/>
          <w:u w:val="single"/>
        </w:rPr>
        <w:t xml:space="preserve"> Final Design Report, March 1998 by Greiner</w:t>
      </w:r>
      <w:r w:rsidR="006C125B">
        <w:rPr>
          <w:i/>
          <w:u w:val="single"/>
        </w:rPr>
        <w:t xml:space="preserve"> </w:t>
      </w:r>
      <w:r w:rsidRPr="00E25167">
        <w:rPr>
          <w:i/>
          <w:u w:val="single"/>
        </w:rPr>
        <w:t xml:space="preserve"> </w:t>
      </w:r>
      <w:r>
        <w:t>re</w:t>
      </w:r>
      <w:r w:rsidR="00EE526A">
        <w:t>-</w:t>
      </w:r>
      <w:r>
        <w:t xml:space="preserve">ran the dam analysis:  </w:t>
      </w:r>
    </w:p>
    <w:p w:rsidR="00E25167" w:rsidRDefault="00E25167" w:rsidP="00E25167">
      <w:pPr>
        <w:pStyle w:val="ListParagraph"/>
        <w:numPr>
          <w:ilvl w:val="1"/>
          <w:numId w:val="1"/>
        </w:numPr>
      </w:pPr>
      <w:r>
        <w:t>Volume of North pond decreased</w:t>
      </w:r>
      <w:r w:rsidR="00E41093">
        <w:t xml:space="preserve"> slightly</w:t>
      </w:r>
      <w:r>
        <w:t xml:space="preserve"> due to </w:t>
      </w:r>
      <w:r w:rsidR="00E41093">
        <w:t xml:space="preserve">addition of the </w:t>
      </w:r>
      <w:r>
        <w:t>access road.</w:t>
      </w:r>
    </w:p>
    <w:p w:rsidR="00E25167" w:rsidRDefault="00E25167" w:rsidP="00E25167">
      <w:pPr>
        <w:pStyle w:val="ListParagraph"/>
        <w:numPr>
          <w:ilvl w:val="1"/>
          <w:numId w:val="1"/>
        </w:numPr>
      </w:pPr>
      <w:r>
        <w:t>This resulted in an increase in output out of the South pond to 101 cfs. (ultimate condition)</w:t>
      </w:r>
    </w:p>
    <w:p w:rsidR="00E25167" w:rsidRDefault="00E25167" w:rsidP="00E25167">
      <w:pPr>
        <w:pStyle w:val="ListParagraph"/>
        <w:numPr>
          <w:ilvl w:val="1"/>
          <w:numId w:val="1"/>
        </w:numPr>
      </w:pPr>
      <w:r>
        <w:t xml:space="preserve">Storm Sewer analysis shows 97 cfs used as outflow from dam.  (see </w:t>
      </w:r>
      <w:r w:rsidR="00E41093">
        <w:t xml:space="preserve">Report </w:t>
      </w:r>
      <w:r>
        <w:t>Appendix</w:t>
      </w:r>
      <w:r w:rsidR="00E41093">
        <w:t>)</w:t>
      </w:r>
      <w:r>
        <w:t xml:space="preserve"> </w:t>
      </w:r>
    </w:p>
    <w:p w:rsidR="009C7DAD" w:rsidRDefault="009C7DAD" w:rsidP="009C7DAD">
      <w:pPr>
        <w:pStyle w:val="ListParagraph"/>
        <w:ind w:left="1440"/>
      </w:pPr>
    </w:p>
    <w:p w:rsidR="00567858" w:rsidRPr="00E231E8" w:rsidRDefault="00567858" w:rsidP="0090222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E231E8">
        <w:t xml:space="preserve">The </w:t>
      </w:r>
      <w:r w:rsidRPr="00E231E8">
        <w:rPr>
          <w:i/>
          <w:u w:val="single"/>
        </w:rPr>
        <w:t xml:space="preserve">Amole-Hubbell DMP, July 1999 by </w:t>
      </w:r>
      <w:proofErr w:type="spellStart"/>
      <w:r w:rsidRPr="00E231E8">
        <w:rPr>
          <w:i/>
          <w:u w:val="single"/>
        </w:rPr>
        <w:t>Leedshill-Herkenhoff</w:t>
      </w:r>
      <w:proofErr w:type="spellEnd"/>
      <w:r w:rsidRPr="00E231E8">
        <w:rPr>
          <w:i/>
          <w:u w:val="single"/>
        </w:rPr>
        <w:t xml:space="preserve"> </w:t>
      </w:r>
      <w:r w:rsidRPr="00E231E8">
        <w:t>re-ran the analysis.</w:t>
      </w:r>
    </w:p>
    <w:p w:rsidR="00567858" w:rsidRPr="00E231E8" w:rsidRDefault="00567858" w:rsidP="00567858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The analysis </w:t>
      </w:r>
      <w:r w:rsidR="009C7DAD" w:rsidRPr="00E231E8">
        <w:t xml:space="preserve">for the </w:t>
      </w:r>
      <w:r w:rsidR="009C7DAD" w:rsidRPr="00E231E8">
        <w:rPr>
          <w:b/>
          <w:u w:val="single"/>
        </w:rPr>
        <w:t>98</w:t>
      </w:r>
      <w:r w:rsidR="009C7DAD" w:rsidRPr="00E231E8">
        <w:rPr>
          <w:b/>
          <w:u w:val="single"/>
          <w:vertAlign w:val="superscript"/>
        </w:rPr>
        <w:t>th</w:t>
      </w:r>
      <w:r w:rsidR="009C7DAD" w:rsidRPr="00E231E8">
        <w:rPr>
          <w:b/>
          <w:u w:val="single"/>
        </w:rPr>
        <w:t xml:space="preserve"> and Central Basin</w:t>
      </w:r>
      <w:r w:rsidR="009C7DAD" w:rsidRPr="00E231E8">
        <w:t xml:space="preserve"> </w:t>
      </w:r>
      <w:r w:rsidRPr="00E231E8">
        <w:t>did not include basins north of I-40, and the bulking factors were removed.</w:t>
      </w:r>
      <w:r w:rsidR="009C7DAD" w:rsidRPr="00E231E8">
        <w:t xml:space="preserve">  </w:t>
      </w:r>
    </w:p>
    <w:p w:rsidR="00471B63" w:rsidRPr="00E231E8" w:rsidRDefault="00471B63" w:rsidP="00471B63">
      <w:pPr>
        <w:pStyle w:val="ListParagraph"/>
        <w:numPr>
          <w:ilvl w:val="1"/>
          <w:numId w:val="1"/>
        </w:numPr>
      </w:pPr>
      <w:r w:rsidRPr="00E231E8">
        <w:t>The discharge directly into the North Pond is 1045 cfs, and 701 cfs into the South Pond, total area of analysis being 0.75 SQ. Mi. (Ultimate Condition)</w:t>
      </w:r>
    </w:p>
    <w:p w:rsidR="00567858" w:rsidRPr="00E231E8" w:rsidRDefault="00471B63" w:rsidP="00471B63">
      <w:pPr>
        <w:pStyle w:val="ListParagraph"/>
        <w:numPr>
          <w:ilvl w:val="1"/>
          <w:numId w:val="1"/>
        </w:numPr>
      </w:pPr>
      <w:r w:rsidRPr="00E231E8">
        <w:t xml:space="preserve">The discharge out of the South Pond </w:t>
      </w:r>
      <w:proofErr w:type="gramStart"/>
      <w:r w:rsidRPr="00E231E8">
        <w:t xml:space="preserve">is </w:t>
      </w:r>
      <w:r w:rsidR="00567858" w:rsidRPr="00E231E8">
        <w:t xml:space="preserve"> 69</w:t>
      </w:r>
      <w:proofErr w:type="gramEnd"/>
      <w:r w:rsidR="00681189" w:rsidRPr="00E231E8">
        <w:t xml:space="preserve"> cfs </w:t>
      </w:r>
      <w:r w:rsidRPr="00E231E8">
        <w:t>(Ultimate Condition)</w:t>
      </w:r>
      <w:r w:rsidR="00E231E8">
        <w:t xml:space="preserve"> .</w:t>
      </w:r>
    </w:p>
    <w:p w:rsidR="003602DB" w:rsidRPr="00E231E8" w:rsidRDefault="003602DB" w:rsidP="009C7DA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>The analysis used the older N.</w:t>
      </w:r>
      <w:r w:rsidR="00471B63" w:rsidRPr="00E231E8">
        <w:t xml:space="preserve"> </w:t>
      </w:r>
      <w:r w:rsidRPr="00E231E8">
        <w:t xml:space="preserve">Pond volume out of the </w:t>
      </w:r>
      <w:r w:rsidR="00D75EFB" w:rsidRPr="00E231E8">
        <w:rPr>
          <w:i/>
          <w:u w:val="single"/>
        </w:rPr>
        <w:t xml:space="preserve">T.B. Phase IIIC- 1995 </w:t>
      </w:r>
      <w:r w:rsidRPr="00E231E8">
        <w:t xml:space="preserve">and doesn’t not use the lesser volume from the </w:t>
      </w:r>
      <w:r w:rsidR="002A5CB0" w:rsidRPr="00E231E8">
        <w:rPr>
          <w:i/>
          <w:u w:val="single"/>
        </w:rPr>
        <w:t xml:space="preserve">T.B. </w:t>
      </w:r>
      <w:r w:rsidRPr="00E231E8">
        <w:rPr>
          <w:i/>
          <w:u w:val="single"/>
        </w:rPr>
        <w:t>Final III</w:t>
      </w:r>
      <w:r w:rsidR="002A5CB0" w:rsidRPr="00E231E8">
        <w:rPr>
          <w:i/>
          <w:u w:val="single"/>
        </w:rPr>
        <w:t xml:space="preserve"> report (1998)</w:t>
      </w:r>
      <w:r w:rsidRPr="00E231E8">
        <w:t xml:space="preserve"> </w:t>
      </w:r>
      <w:r w:rsidR="00E41093">
        <w:t>which includes access road</w:t>
      </w:r>
    </w:p>
    <w:p w:rsidR="003602DB" w:rsidRDefault="003602DB" w:rsidP="00567858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This report is vague about this basin since it was under the City’s jurisdiction, and relies on the City to control discharge to the present facilities. </w:t>
      </w:r>
    </w:p>
    <w:p w:rsidR="00E231E8" w:rsidRPr="00E231E8" w:rsidRDefault="00E231E8" w:rsidP="00E231E8">
      <w:pPr>
        <w:pStyle w:val="ListParagraph"/>
        <w:spacing w:after="0" w:line="240" w:lineRule="auto"/>
        <w:ind w:left="1440"/>
        <w:contextualSpacing w:val="0"/>
      </w:pPr>
    </w:p>
    <w:p w:rsidR="003602DB" w:rsidRPr="00E231E8" w:rsidRDefault="003602DB" w:rsidP="00902227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E231E8">
        <w:t xml:space="preserve">The </w:t>
      </w:r>
      <w:r w:rsidR="00902227" w:rsidRPr="00E231E8">
        <w:rPr>
          <w:i/>
          <w:u w:val="single"/>
        </w:rPr>
        <w:t>Amole-Hubbell 2013 report by Wilson</w:t>
      </w:r>
      <w:r w:rsidRPr="00E231E8">
        <w:t xml:space="preserve"> is not in its Final version </w:t>
      </w:r>
      <w:r w:rsidR="006C125B" w:rsidRPr="00E231E8">
        <w:t>(per</w:t>
      </w:r>
      <w:r w:rsidRPr="00E231E8">
        <w:t xml:space="preserve"> AMAFCA</w:t>
      </w:r>
      <w:r w:rsidR="006C125B" w:rsidRPr="00E231E8">
        <w:t>)</w:t>
      </w:r>
      <w:r w:rsidRPr="00E231E8">
        <w:t xml:space="preserve">.  </w:t>
      </w:r>
    </w:p>
    <w:p w:rsidR="00C45737" w:rsidRPr="00E231E8" w:rsidRDefault="003602DB" w:rsidP="003602DB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>It</w:t>
      </w:r>
      <w:r w:rsidR="002A5CB0" w:rsidRPr="00E231E8">
        <w:t xml:space="preserve"> suggested</w:t>
      </w:r>
      <w:r w:rsidR="00902227" w:rsidRPr="00E231E8">
        <w:t xml:space="preserve"> limit</w:t>
      </w:r>
      <w:r w:rsidR="002A5CB0" w:rsidRPr="00E231E8">
        <w:t xml:space="preserve">ing </w:t>
      </w:r>
      <w:r w:rsidR="00902227" w:rsidRPr="00E231E8">
        <w:t xml:space="preserve">the output of </w:t>
      </w:r>
      <w:proofErr w:type="gramStart"/>
      <w:r w:rsidR="00902227" w:rsidRPr="00E231E8">
        <w:t>the</w:t>
      </w:r>
      <w:r w:rsidR="00471B63" w:rsidRPr="00E231E8">
        <w:t xml:space="preserve"> </w:t>
      </w:r>
      <w:r w:rsidR="00902227" w:rsidRPr="00E231E8">
        <w:t xml:space="preserve"> Dam</w:t>
      </w:r>
      <w:proofErr w:type="gramEnd"/>
      <w:r w:rsidR="00902227" w:rsidRPr="00E231E8">
        <w:t xml:space="preserve"> to 21.8 cfs due to downstream deficiencies, and recommended reinstalling</w:t>
      </w:r>
      <w:r w:rsidR="00415BB3" w:rsidRPr="00E231E8">
        <w:t xml:space="preserve"> an 18”</w:t>
      </w:r>
      <w:r w:rsidR="00902227" w:rsidRPr="00E231E8">
        <w:t xml:space="preserve"> orifice place to limit the flow.   </w:t>
      </w:r>
    </w:p>
    <w:p w:rsidR="00415BB3" w:rsidRPr="00E231E8" w:rsidRDefault="00902227" w:rsidP="003602DB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lastRenderedPageBreak/>
        <w:t xml:space="preserve">This is not reasonable since a permanent orifice plate with such limitations would cause the dam to overtop for a fully developed condition. </w:t>
      </w:r>
    </w:p>
    <w:p w:rsidR="00902227" w:rsidRPr="00E231E8" w:rsidRDefault="002A5CB0" w:rsidP="003602DB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>This report u</w:t>
      </w:r>
      <w:r w:rsidR="00415BB3" w:rsidRPr="00E231E8">
        <w:t xml:space="preserve">ses AHYMO S4 which is known to have a significantly larger peak flow for impervious areas.  </w:t>
      </w:r>
      <w:r w:rsidR="00902227" w:rsidRPr="00E231E8">
        <w:t xml:space="preserve"> </w:t>
      </w:r>
    </w:p>
    <w:p w:rsidR="009C7DAD" w:rsidRPr="00E231E8" w:rsidRDefault="009C7DAD" w:rsidP="009C7DAD">
      <w:pPr>
        <w:pStyle w:val="ListParagraph"/>
        <w:spacing w:after="0" w:line="240" w:lineRule="auto"/>
        <w:ind w:left="1440"/>
        <w:contextualSpacing w:val="0"/>
      </w:pPr>
    </w:p>
    <w:p w:rsidR="002A5CB0" w:rsidRPr="00E231E8" w:rsidRDefault="002A5CB0" w:rsidP="002A5CB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E231E8">
        <w:rPr>
          <w:i/>
          <w:u w:val="single"/>
        </w:rPr>
        <w:t>AMAFCA correspondence</w:t>
      </w:r>
      <w:r w:rsidRPr="00E231E8">
        <w:t xml:space="preserve"> (email with Brad Bingham, July 23-27, 2015)</w:t>
      </w:r>
    </w:p>
    <w:p w:rsidR="00E506AB" w:rsidRPr="00E231E8" w:rsidRDefault="00F424BC" w:rsidP="002A5CB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The suggested limit of 22 cfs out of the South Pond by the 2013 Amole-Hubbell report </w:t>
      </w:r>
      <w:r w:rsidR="00E506AB" w:rsidRPr="00E231E8">
        <w:t>was</w:t>
      </w:r>
      <w:r w:rsidRPr="00E231E8">
        <w:t xml:space="preserve"> based on the capacity </w:t>
      </w:r>
      <w:r w:rsidR="003D23F2">
        <w:t xml:space="preserve">of the N-S Coors </w:t>
      </w:r>
      <w:proofErr w:type="gramStart"/>
      <w:r w:rsidR="003D23F2">
        <w:t xml:space="preserve">Dam </w:t>
      </w:r>
      <w:r w:rsidR="00791B5E" w:rsidRPr="00E231E8">
        <w:t xml:space="preserve"> that</w:t>
      </w:r>
      <w:proofErr w:type="gramEnd"/>
      <w:r w:rsidR="00791B5E" w:rsidRPr="00E231E8">
        <w:t xml:space="preserve"> the consultant </w:t>
      </w:r>
      <w:r w:rsidRPr="00E231E8">
        <w:t xml:space="preserve">determined may spill. The 22 cfs discharge was one of a couple of recommendations to keep </w:t>
      </w:r>
      <w:r w:rsidR="00E506AB" w:rsidRPr="00E231E8">
        <w:t xml:space="preserve">the N-S Coors Dam </w:t>
      </w:r>
      <w:r w:rsidRPr="00E231E8">
        <w:t>from overtopping.</w:t>
      </w:r>
      <w:r w:rsidR="00E506AB" w:rsidRPr="00E231E8">
        <w:t xml:space="preserve"> </w:t>
      </w:r>
      <w:r w:rsidRPr="00E231E8">
        <w:t xml:space="preserve"> Another is to raise the N-S Coors dam spillway or make it bigger. </w:t>
      </w:r>
    </w:p>
    <w:p w:rsidR="00F424BC" w:rsidRPr="00E231E8" w:rsidRDefault="00F424BC" w:rsidP="002A5CB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AMAFCA is remodeling the entire Amole Hubbell watershed in HEC_HMS because it is said that AHYMO overestimates flow by 10-15%. Reducing the flows out of the Amole del Norte dam is not the best course of action to “fix” the system. </w:t>
      </w:r>
    </w:p>
    <w:p w:rsidR="008C65E7" w:rsidRPr="00E231E8" w:rsidRDefault="00E506AB" w:rsidP="00E506AB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The system will be analyzed for </w:t>
      </w:r>
      <w:r w:rsidR="008C65E7" w:rsidRPr="00E231E8">
        <w:t xml:space="preserve">contributing basins between the Amole Del Norte Dam and the N-S Coors Dam.   </w:t>
      </w:r>
    </w:p>
    <w:p w:rsidR="00E506AB" w:rsidRDefault="008C65E7" w:rsidP="002A5CB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AMAFCA believes the </w:t>
      </w:r>
      <w:r w:rsidR="00E506AB" w:rsidRPr="00E231E8">
        <w:t>7</w:t>
      </w:r>
      <w:r w:rsidR="00920FBD">
        <w:t>5</w:t>
      </w:r>
      <w:r w:rsidR="00E506AB" w:rsidRPr="00E231E8">
        <w:t xml:space="preserve"> cfs difference </w:t>
      </w:r>
      <w:r w:rsidRPr="00E231E8">
        <w:t xml:space="preserve">between the design discharge and that recommended by the 2013 Amole-Hubbell report </w:t>
      </w:r>
      <w:r w:rsidR="00E506AB" w:rsidRPr="00E231E8">
        <w:t xml:space="preserve">will be </w:t>
      </w:r>
      <w:r w:rsidRPr="00E231E8">
        <w:t>resolved</w:t>
      </w:r>
      <w:r w:rsidR="00E506AB" w:rsidRPr="00E231E8">
        <w:t xml:space="preserve"> once the HMS </w:t>
      </w:r>
      <w:r w:rsidRPr="00E231E8">
        <w:t>model is run</w:t>
      </w:r>
      <w:r w:rsidR="00E506AB" w:rsidRPr="00E231E8">
        <w:t xml:space="preserve">. </w:t>
      </w:r>
      <w:r w:rsidRPr="00E231E8">
        <w:t xml:space="preserve"> I</w:t>
      </w:r>
      <w:r w:rsidR="00E506AB" w:rsidRPr="00E231E8">
        <w:t xml:space="preserve">t is likely that </w:t>
      </w:r>
      <w:r w:rsidRPr="00E231E8">
        <w:t xml:space="preserve">flows </w:t>
      </w:r>
      <w:r w:rsidR="00E506AB" w:rsidRPr="00E231E8">
        <w:t xml:space="preserve">entering the </w:t>
      </w:r>
      <w:r w:rsidRPr="00E231E8">
        <w:t xml:space="preserve">N-S </w:t>
      </w:r>
      <w:r w:rsidR="00E506AB" w:rsidRPr="00E231E8">
        <w:t>Coors</w:t>
      </w:r>
      <w:r w:rsidRPr="00E231E8">
        <w:t xml:space="preserve"> Dam, modeled </w:t>
      </w:r>
      <w:r w:rsidR="00E506AB" w:rsidRPr="00E231E8">
        <w:t>in HMS</w:t>
      </w:r>
      <w:r w:rsidRPr="00E231E8">
        <w:t>, will be at least 7</w:t>
      </w:r>
      <w:r w:rsidR="00920FBD">
        <w:t>5</w:t>
      </w:r>
      <w:r w:rsidRPr="00E231E8">
        <w:t xml:space="preserve"> cfs less</w:t>
      </w:r>
      <w:r w:rsidR="00E506AB" w:rsidRPr="00E231E8">
        <w:t xml:space="preserve">. If it </w:t>
      </w:r>
      <w:r w:rsidRPr="00E231E8">
        <w:t xml:space="preserve">is </w:t>
      </w:r>
      <w:r w:rsidR="00E506AB" w:rsidRPr="00E231E8">
        <w:t xml:space="preserve">not, the City and AMAFCA would work together to Improve the dam. </w:t>
      </w:r>
    </w:p>
    <w:p w:rsidR="00F920EE" w:rsidRPr="00E231E8" w:rsidRDefault="00F920EE" w:rsidP="00F920EE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The </w:t>
      </w:r>
      <w:r w:rsidRPr="00E231E8">
        <w:rPr>
          <w:i/>
          <w:u w:val="single"/>
        </w:rPr>
        <w:t>Paradise RV Park Drainage Report, 2015 by Ron Hensley</w:t>
      </w:r>
      <w:r w:rsidRPr="00E231E8">
        <w:t xml:space="preserve"> </w:t>
      </w:r>
      <w:r>
        <w:t>(below) establishes that the discharge out of the dam in the ultimate condition is 70 cfs. Therefore</w:t>
      </w:r>
      <w:r w:rsidR="00920FBD">
        <w:t xml:space="preserve"> 48 cfs, rather than 75 cfs, will need to be absorbed by the new HEC-HMS study. </w:t>
      </w:r>
      <w:r>
        <w:t xml:space="preserve"> </w:t>
      </w:r>
    </w:p>
    <w:p w:rsidR="009C7DAD" w:rsidRPr="00E231E8" w:rsidRDefault="009C7DAD" w:rsidP="00920FBD">
      <w:pPr>
        <w:pStyle w:val="ListParagraph"/>
        <w:spacing w:after="0" w:line="240" w:lineRule="auto"/>
        <w:ind w:left="1440"/>
        <w:contextualSpacing w:val="0"/>
      </w:pPr>
    </w:p>
    <w:p w:rsidR="009C7DAD" w:rsidRPr="00E231E8" w:rsidRDefault="009C7DAD" w:rsidP="009C7DA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E231E8">
        <w:rPr>
          <w:i/>
          <w:u w:val="single"/>
        </w:rPr>
        <w:t>Paradise RV Park Drainage Report, 2015 by Ron Hensley</w:t>
      </w:r>
      <w:r w:rsidRPr="00E231E8">
        <w:t xml:space="preserve"> </w:t>
      </w:r>
    </w:p>
    <w:p w:rsidR="006C125B" w:rsidRPr="00E231E8" w:rsidRDefault="009C7DAD" w:rsidP="009C7DA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This report re-analyzes the </w:t>
      </w:r>
      <w:r w:rsidRPr="00E231E8">
        <w:rPr>
          <w:b/>
          <w:u w:val="single"/>
        </w:rPr>
        <w:t>98</w:t>
      </w:r>
      <w:r w:rsidRPr="00E231E8">
        <w:rPr>
          <w:b/>
          <w:u w:val="single"/>
          <w:vertAlign w:val="superscript"/>
        </w:rPr>
        <w:t>th</w:t>
      </w:r>
      <w:r w:rsidRPr="00E231E8">
        <w:rPr>
          <w:b/>
          <w:u w:val="single"/>
        </w:rPr>
        <w:t xml:space="preserve"> and Central Basin</w:t>
      </w:r>
      <w:r w:rsidRPr="00E231E8">
        <w:t xml:space="preserve"> </w:t>
      </w:r>
      <w:r w:rsidR="006C125B" w:rsidRPr="00E231E8">
        <w:t xml:space="preserve">and is to be used as the Master Drainage Plan for development in this basin.  Almost all of the undeveloped land is in the County’s Jurisdiction.   </w:t>
      </w:r>
    </w:p>
    <w:p w:rsidR="006C125B" w:rsidRPr="00E231E8" w:rsidRDefault="006C125B" w:rsidP="009C7DA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 xml:space="preserve">This report uses </w:t>
      </w:r>
    </w:p>
    <w:p w:rsidR="009C7DAD" w:rsidRPr="00E231E8" w:rsidRDefault="009C7DAD" w:rsidP="006C125B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proofErr w:type="gramStart"/>
      <w:r w:rsidRPr="00E231E8">
        <w:t>land</w:t>
      </w:r>
      <w:proofErr w:type="gramEnd"/>
      <w:r w:rsidRPr="00E231E8">
        <w:t xml:space="preserve"> treatments similar to those used in the </w:t>
      </w:r>
      <w:r w:rsidR="00D75EFB" w:rsidRPr="00E231E8">
        <w:rPr>
          <w:i/>
          <w:u w:val="single"/>
        </w:rPr>
        <w:t>T.B. Phase IIIC ( 1995) report</w:t>
      </w:r>
      <w:r w:rsidRPr="00E231E8">
        <w:t xml:space="preserve">. </w:t>
      </w:r>
    </w:p>
    <w:p w:rsidR="006C125B" w:rsidRPr="00E231E8" w:rsidRDefault="006C125B" w:rsidP="006C125B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E231E8">
        <w:t>6% Bulking Factor for Existing, Interim, and Final Condition</w:t>
      </w:r>
    </w:p>
    <w:p w:rsidR="006C125B" w:rsidRDefault="006C125B" w:rsidP="006C125B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E231E8">
        <w:t xml:space="preserve">Staged Discharge Curve used in the </w:t>
      </w:r>
      <w:r w:rsidRPr="00E231E8">
        <w:rPr>
          <w:i/>
          <w:u w:val="single"/>
        </w:rPr>
        <w:t xml:space="preserve">T.B. Final III report (1998) </w:t>
      </w:r>
      <w:r w:rsidRPr="00E231E8">
        <w:t>– North Pond with Access Road</w:t>
      </w:r>
    </w:p>
    <w:p w:rsidR="00BC7D6A" w:rsidRPr="00E231E8" w:rsidRDefault="00BC7D6A" w:rsidP="006C125B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>24 Hr. Storm, (Peak Flows for 6-hr storm equal those from 24 Hr. storm)</w:t>
      </w:r>
    </w:p>
    <w:p w:rsidR="00D75EFB" w:rsidRPr="00E231E8" w:rsidRDefault="00D75EFB" w:rsidP="009C7DA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E231E8">
        <w:t>This report calculates 353 cfs to the 84”</w:t>
      </w:r>
      <w:r w:rsidR="00E231E8" w:rsidRPr="00E231E8">
        <w:t xml:space="preserve"> storm </w:t>
      </w:r>
      <w:r w:rsidRPr="00E231E8">
        <w:t xml:space="preserve">drain discharging directly to the South Pond.  (an increase from the original report of 335 cfs) </w:t>
      </w:r>
    </w:p>
    <w:p w:rsidR="00D75EFB" w:rsidRPr="00E231E8" w:rsidRDefault="00D75EFB" w:rsidP="00D75EFB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E231E8">
        <w:t>Future developments of Basins 205.12 and 205.2 (NE of Bluewater and 106</w:t>
      </w:r>
      <w:r w:rsidRPr="00E231E8">
        <w:rPr>
          <w:vertAlign w:val="superscript"/>
        </w:rPr>
        <w:t>th</w:t>
      </w:r>
      <w:r w:rsidRPr="00E231E8">
        <w:t xml:space="preserve"> St) may need to limit discharge if the HGL is above the inlet</w:t>
      </w:r>
      <w:r w:rsidR="00E231E8" w:rsidRPr="00E231E8">
        <w:t>s</w:t>
      </w:r>
      <w:r w:rsidRPr="00E231E8">
        <w:t xml:space="preserve"> at 98</w:t>
      </w:r>
      <w:r w:rsidRPr="00E231E8">
        <w:rPr>
          <w:vertAlign w:val="superscript"/>
        </w:rPr>
        <w:t>th</w:t>
      </w:r>
      <w:r w:rsidRPr="00E231E8">
        <w:t xml:space="preserve"> and Volcano.  </w:t>
      </w:r>
      <w:r w:rsidR="006C125B" w:rsidRPr="00E231E8">
        <w:t>Develop</w:t>
      </w:r>
      <w:r w:rsidR="00E231E8" w:rsidRPr="00E231E8">
        <w:t xml:space="preserve">er’s engineer will need to verify.  </w:t>
      </w:r>
    </w:p>
    <w:p w:rsidR="00E231E8" w:rsidRDefault="00E231E8" w:rsidP="00E231E8">
      <w:pPr>
        <w:pStyle w:val="ListParagraph"/>
        <w:numPr>
          <w:ilvl w:val="1"/>
          <w:numId w:val="1"/>
        </w:numPr>
      </w:pPr>
      <w:r w:rsidRPr="00E231E8">
        <w:t>The discharge directly into the North Pond is 1</w:t>
      </w:r>
      <w:r>
        <w:t>124</w:t>
      </w:r>
      <w:r w:rsidRPr="00E231E8">
        <w:t xml:space="preserve"> cfs, and </w:t>
      </w:r>
      <w:r>
        <w:t>677</w:t>
      </w:r>
      <w:r w:rsidRPr="00E231E8">
        <w:t xml:space="preserve"> cfs into the South Pond, total area of analysis being 0.</w:t>
      </w:r>
      <w:r w:rsidR="00BC7D6A">
        <w:t>84</w:t>
      </w:r>
      <w:r w:rsidRPr="00E231E8">
        <w:t xml:space="preserve"> SQ. Mi. (Ultimate Condition)</w:t>
      </w:r>
      <w:r w:rsidR="00002BAF">
        <w:t xml:space="preserve"> </w:t>
      </w:r>
    </w:p>
    <w:p w:rsidR="00002BAF" w:rsidRPr="00002BAF" w:rsidRDefault="00002BAF" w:rsidP="00002BAF">
      <w:pPr>
        <w:pStyle w:val="ListParagraph"/>
        <w:numPr>
          <w:ilvl w:val="2"/>
          <w:numId w:val="1"/>
        </w:numPr>
      </w:pPr>
      <w:r w:rsidRPr="00002BAF">
        <w:t xml:space="preserve">The </w:t>
      </w:r>
      <w:r>
        <w:t>d</w:t>
      </w:r>
      <w:r w:rsidRPr="00002BAF">
        <w:t>iscrepancy in the Area</w:t>
      </w:r>
      <w:r w:rsidR="00884424">
        <w:t xml:space="preserve"> from the 1998 Amole-Hubbell report (0.75 Sq. Mi.)</w:t>
      </w:r>
      <w:r w:rsidRPr="00002BAF">
        <w:t xml:space="preserve"> may be due to the fact that Basins 205.12 and 2</w:t>
      </w:r>
      <w:r>
        <w:t xml:space="preserve">05.2 originally extended to I-25.  Although the Basin boundary was revised, the area in the analysis was not.  </w:t>
      </w:r>
    </w:p>
    <w:p w:rsidR="00E231E8" w:rsidRDefault="00E231E8" w:rsidP="00E231E8">
      <w:pPr>
        <w:pStyle w:val="ListParagraph"/>
        <w:numPr>
          <w:ilvl w:val="1"/>
          <w:numId w:val="1"/>
        </w:numPr>
      </w:pPr>
      <w:r w:rsidRPr="00E231E8">
        <w:t xml:space="preserve">The discharge out of the South Pond is </w:t>
      </w:r>
      <w:r w:rsidR="00BC7D6A">
        <w:t>70</w:t>
      </w:r>
      <w:r w:rsidRPr="00E231E8">
        <w:t xml:space="preserve"> cfs (Ultimate Condition</w:t>
      </w:r>
      <w:proofErr w:type="gramStart"/>
      <w:r w:rsidRPr="00E231E8">
        <w:t>)</w:t>
      </w:r>
      <w:r>
        <w:t xml:space="preserve"> .</w:t>
      </w:r>
      <w:proofErr w:type="gramEnd"/>
    </w:p>
    <w:p w:rsidR="009C7DAD" w:rsidRDefault="00BC7D6A" w:rsidP="00BC7D6A">
      <w:pPr>
        <w:pStyle w:val="ListParagraph"/>
        <w:numPr>
          <w:ilvl w:val="1"/>
          <w:numId w:val="1"/>
        </w:numPr>
      </w:pPr>
      <w:r w:rsidRPr="00E231E8">
        <w:t xml:space="preserve">The discharge out of the South Pond is </w:t>
      </w:r>
      <w:r>
        <w:t>54</w:t>
      </w:r>
      <w:r w:rsidRPr="00E231E8">
        <w:t xml:space="preserve"> cfs (</w:t>
      </w:r>
      <w:r>
        <w:t xml:space="preserve">Interim </w:t>
      </w:r>
      <w:r w:rsidRPr="00E231E8">
        <w:t>Condition</w:t>
      </w:r>
      <w:r>
        <w:t xml:space="preserve"> – with the development of this site and a Temporary Pond in Basin 109.1</w:t>
      </w:r>
      <w:proofErr w:type="gramStart"/>
      <w:r w:rsidRPr="00E231E8">
        <w:t>)</w:t>
      </w:r>
      <w:r>
        <w:t xml:space="preserve"> .</w:t>
      </w:r>
      <w:proofErr w:type="gramEnd"/>
    </w:p>
    <w:p w:rsidR="003D23F2" w:rsidRDefault="003D23F2" w:rsidP="00BC7D6A">
      <w:pPr>
        <w:pStyle w:val="ListParagraph"/>
        <w:numPr>
          <w:ilvl w:val="1"/>
          <w:numId w:val="1"/>
        </w:numPr>
      </w:pPr>
      <w:r>
        <w:t>Developer will Financially Guarantee the following:</w:t>
      </w:r>
    </w:p>
    <w:p w:rsidR="003D23F2" w:rsidRDefault="003D23F2" w:rsidP="003D23F2">
      <w:pPr>
        <w:pStyle w:val="ListParagraph"/>
        <w:numPr>
          <w:ilvl w:val="2"/>
          <w:numId w:val="1"/>
        </w:numPr>
      </w:pPr>
      <w:r>
        <w:t xml:space="preserve"> 84” Storm Drain in Volcano </w:t>
      </w:r>
    </w:p>
    <w:p w:rsidR="00884424" w:rsidRDefault="003D23F2" w:rsidP="00884424">
      <w:pPr>
        <w:pStyle w:val="ListParagraph"/>
        <w:numPr>
          <w:ilvl w:val="2"/>
          <w:numId w:val="1"/>
        </w:numPr>
      </w:pPr>
      <w:r>
        <w:lastRenderedPageBreak/>
        <w:t>108” Storm Drain into Pond (Ultimate Condition)</w:t>
      </w:r>
    </w:p>
    <w:p w:rsidR="00884424" w:rsidRDefault="00884424" w:rsidP="00884424">
      <w:pPr>
        <w:pStyle w:val="ListParagraph"/>
        <w:numPr>
          <w:ilvl w:val="2"/>
          <w:numId w:val="1"/>
        </w:numPr>
      </w:pPr>
      <w:r w:rsidRPr="00884424">
        <w:t>42” Storm Drain into Pond (Interim Condition)</w:t>
      </w:r>
      <w:r w:rsidR="00F920EE">
        <w:t xml:space="preserve">, to be built with this project. </w:t>
      </w:r>
    </w:p>
    <w:p w:rsidR="00F920EE" w:rsidRDefault="003D23F2" w:rsidP="003D23F2">
      <w:pPr>
        <w:pStyle w:val="ListParagraph"/>
        <w:numPr>
          <w:ilvl w:val="2"/>
          <w:numId w:val="1"/>
        </w:numPr>
      </w:pPr>
      <w:r w:rsidRPr="003D23F2">
        <w:t xml:space="preserve">MH </w:t>
      </w:r>
      <w:r w:rsidR="00F920EE">
        <w:t xml:space="preserve">large enough </w:t>
      </w:r>
      <w:r w:rsidRPr="003D23F2">
        <w:t xml:space="preserve">to support the above Storm Drain </w:t>
      </w:r>
    </w:p>
    <w:p w:rsidR="003D23F2" w:rsidRPr="003D23F2" w:rsidRDefault="00DB32CE" w:rsidP="003D23F2">
      <w:pPr>
        <w:pStyle w:val="ListParagraph"/>
        <w:numPr>
          <w:ilvl w:val="2"/>
          <w:numId w:val="1"/>
        </w:numPr>
      </w:pPr>
      <w:r>
        <w:t>G</w:t>
      </w:r>
      <w:r w:rsidR="003D23F2" w:rsidRPr="003D23F2">
        <w:t>ravel V-ditch on South side of Volcano up to 102nd St.</w:t>
      </w:r>
      <w:r w:rsidR="00F920EE">
        <w:t xml:space="preserve">, to be built with this project. </w:t>
      </w:r>
      <w:r w:rsidR="003D23F2" w:rsidRPr="003D23F2">
        <w:t xml:space="preserve">  </w:t>
      </w:r>
    </w:p>
    <w:p w:rsidR="003D23F2" w:rsidRDefault="00DB32CE" w:rsidP="003D23F2">
      <w:pPr>
        <w:pStyle w:val="ListParagraph"/>
        <w:numPr>
          <w:ilvl w:val="2"/>
          <w:numId w:val="1"/>
        </w:numPr>
      </w:pPr>
      <w:r>
        <w:t>Repairing the present rundown</w:t>
      </w:r>
      <w:r w:rsidR="00F920EE">
        <w:t>, to be built with this project</w:t>
      </w:r>
    </w:p>
    <w:p w:rsidR="003D23F2" w:rsidRDefault="003D23F2" w:rsidP="008C65E7">
      <w:pPr>
        <w:pStyle w:val="ListParagraph"/>
        <w:spacing w:after="0" w:line="240" w:lineRule="auto"/>
        <w:ind w:left="1440"/>
        <w:contextualSpacing w:val="0"/>
        <w:rPr>
          <w:sz w:val="24"/>
        </w:rPr>
      </w:pPr>
    </w:p>
    <w:p w:rsidR="003D23F2" w:rsidRDefault="003D23F2" w:rsidP="008C65E7">
      <w:pPr>
        <w:pStyle w:val="ListParagraph"/>
        <w:spacing w:after="0" w:line="240" w:lineRule="auto"/>
        <w:ind w:left="1440"/>
        <w:contextualSpacing w:val="0"/>
        <w:rPr>
          <w:sz w:val="24"/>
        </w:rPr>
      </w:pPr>
    </w:p>
    <w:p w:rsidR="006C125B" w:rsidRPr="006C125B" w:rsidRDefault="006C125B" w:rsidP="00C4573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i/>
          <w:sz w:val="24"/>
          <w:u w:val="single"/>
        </w:rPr>
        <w:t>Coordination with Bernalillo County</w:t>
      </w:r>
    </w:p>
    <w:p w:rsidR="00F920EE" w:rsidRDefault="00CA6954" w:rsidP="00F920E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4"/>
        </w:rPr>
      </w:pPr>
      <w:bookmarkStart w:id="0" w:name="_GoBack"/>
      <w:bookmarkEnd w:id="0"/>
      <w:r w:rsidRPr="00CA6954">
        <w:rPr>
          <w:sz w:val="24"/>
        </w:rPr>
        <w:t xml:space="preserve">A copy of the </w:t>
      </w:r>
      <w:r w:rsidRPr="00CA6954">
        <w:rPr>
          <w:i/>
          <w:u w:val="single"/>
        </w:rPr>
        <w:t xml:space="preserve">Paradise RV Park Drainage Report, 2015 by Ron </w:t>
      </w:r>
      <w:r>
        <w:rPr>
          <w:i/>
          <w:u w:val="single"/>
        </w:rPr>
        <w:t xml:space="preserve">Hensley </w:t>
      </w:r>
      <w:r>
        <w:t xml:space="preserve"> is </w:t>
      </w:r>
      <w:r w:rsidR="00F920EE">
        <w:rPr>
          <w:sz w:val="24"/>
        </w:rPr>
        <w:t>being provided to the County to serve as a Master Drainage Plan for this Basin.  Development within the County’s jurisdiction will need to adhere to this report.</w:t>
      </w:r>
    </w:p>
    <w:p w:rsidR="00F920EE" w:rsidRPr="00072638" w:rsidRDefault="00F920EE" w:rsidP="00F920EE">
      <w:pPr>
        <w:pStyle w:val="ListParagraph"/>
        <w:spacing w:after="0" w:line="240" w:lineRule="auto"/>
        <w:contextualSpacing w:val="0"/>
        <w:rPr>
          <w:sz w:val="24"/>
        </w:rPr>
      </w:pPr>
    </w:p>
    <w:p w:rsidR="00920FBD" w:rsidRDefault="003D23F2" w:rsidP="003D23F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4"/>
        </w:rPr>
      </w:pPr>
      <w:r w:rsidRPr="00791B5E">
        <w:rPr>
          <w:i/>
          <w:sz w:val="24"/>
          <w:u w:val="single"/>
        </w:rPr>
        <w:t xml:space="preserve">Discussions with the County Planner Catherine </w:t>
      </w:r>
      <w:proofErr w:type="spellStart"/>
      <w:r w:rsidRPr="00791B5E">
        <w:rPr>
          <w:i/>
          <w:sz w:val="24"/>
          <w:u w:val="single"/>
        </w:rPr>
        <w:t>VerEecke</w:t>
      </w:r>
      <w:proofErr w:type="spellEnd"/>
      <w:r>
        <w:rPr>
          <w:sz w:val="24"/>
        </w:rPr>
        <w:t xml:space="preserve"> indicated that while Zoned A-1 (1 dwelling unit per Acre) that it is anticipated this undeveloped property will be much denser.  A new zoning plan is in the works.  </w:t>
      </w:r>
    </w:p>
    <w:p w:rsidR="00920FBD" w:rsidRPr="00920FBD" w:rsidRDefault="00920FBD" w:rsidP="00920FBD">
      <w:pPr>
        <w:pStyle w:val="ListParagraph"/>
        <w:rPr>
          <w:sz w:val="24"/>
        </w:rPr>
      </w:pPr>
    </w:p>
    <w:p w:rsidR="00920FBD" w:rsidRPr="00E231E8" w:rsidRDefault="00920FBD" w:rsidP="00920FB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rPr>
          <w:sz w:val="24"/>
        </w:rPr>
        <w:t xml:space="preserve">The City recommends using the </w:t>
      </w:r>
      <w:r w:rsidRPr="00E231E8">
        <w:rPr>
          <w:i/>
          <w:u w:val="single"/>
        </w:rPr>
        <w:t xml:space="preserve">Paradise RV Park Drainage Report, 2015 by Ron </w:t>
      </w:r>
      <w:proofErr w:type="gramStart"/>
      <w:r w:rsidRPr="00E231E8">
        <w:rPr>
          <w:i/>
          <w:u w:val="single"/>
        </w:rPr>
        <w:t>Hensley</w:t>
      </w:r>
      <w:r w:rsidRPr="00E231E8">
        <w:t xml:space="preserve"> </w:t>
      </w:r>
      <w:r>
        <w:t xml:space="preserve"> to</w:t>
      </w:r>
      <w:proofErr w:type="gramEnd"/>
      <w:r>
        <w:t xml:space="preserve"> establish appropriate use. </w:t>
      </w:r>
    </w:p>
    <w:p w:rsidR="003D23F2" w:rsidRDefault="003D23F2" w:rsidP="00920FBD">
      <w:pPr>
        <w:pStyle w:val="ListParagraph"/>
        <w:spacing w:after="0" w:line="240" w:lineRule="auto"/>
        <w:ind w:left="1440"/>
        <w:contextualSpacing w:val="0"/>
        <w:rPr>
          <w:sz w:val="24"/>
        </w:rPr>
      </w:pPr>
    </w:p>
    <w:p w:rsidR="00F920EE" w:rsidRPr="00F920EE" w:rsidRDefault="00F920EE" w:rsidP="00F920EE">
      <w:pPr>
        <w:pStyle w:val="ListParagraph"/>
        <w:rPr>
          <w:sz w:val="24"/>
        </w:rPr>
      </w:pPr>
    </w:p>
    <w:p w:rsidR="00F920EE" w:rsidRPr="00072638" w:rsidRDefault="00F920EE">
      <w:pPr>
        <w:pStyle w:val="ListParagraph"/>
        <w:spacing w:after="0" w:line="240" w:lineRule="auto"/>
        <w:contextualSpacing w:val="0"/>
        <w:rPr>
          <w:sz w:val="24"/>
        </w:rPr>
      </w:pPr>
    </w:p>
    <w:sectPr w:rsidR="00F920EE" w:rsidRPr="00072638" w:rsidSect="00F878E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C0C"/>
    <w:multiLevelType w:val="hybridMultilevel"/>
    <w:tmpl w:val="F82AF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38D9"/>
    <w:multiLevelType w:val="hybridMultilevel"/>
    <w:tmpl w:val="2830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3C28"/>
    <w:multiLevelType w:val="hybridMultilevel"/>
    <w:tmpl w:val="3A90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B7053"/>
    <w:multiLevelType w:val="hybridMultilevel"/>
    <w:tmpl w:val="E828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8"/>
    <w:rsid w:val="00002BAF"/>
    <w:rsid w:val="00066919"/>
    <w:rsid w:val="00072638"/>
    <w:rsid w:val="00165D59"/>
    <w:rsid w:val="002A5CB0"/>
    <w:rsid w:val="00315084"/>
    <w:rsid w:val="003602DB"/>
    <w:rsid w:val="003D23F2"/>
    <w:rsid w:val="00415BB3"/>
    <w:rsid w:val="00471B63"/>
    <w:rsid w:val="004A561F"/>
    <w:rsid w:val="00567858"/>
    <w:rsid w:val="00681189"/>
    <w:rsid w:val="006C125B"/>
    <w:rsid w:val="00730168"/>
    <w:rsid w:val="00791B5E"/>
    <w:rsid w:val="00821976"/>
    <w:rsid w:val="00884424"/>
    <w:rsid w:val="00885B2E"/>
    <w:rsid w:val="00890E8A"/>
    <w:rsid w:val="008C65E7"/>
    <w:rsid w:val="00902227"/>
    <w:rsid w:val="00920FBD"/>
    <w:rsid w:val="00984A95"/>
    <w:rsid w:val="009C7DAD"/>
    <w:rsid w:val="00A549EE"/>
    <w:rsid w:val="00BC7D6A"/>
    <w:rsid w:val="00C45737"/>
    <w:rsid w:val="00C76DEE"/>
    <w:rsid w:val="00CA6954"/>
    <w:rsid w:val="00D749C0"/>
    <w:rsid w:val="00D75EFB"/>
    <w:rsid w:val="00DB32CE"/>
    <w:rsid w:val="00E231E8"/>
    <w:rsid w:val="00E25167"/>
    <w:rsid w:val="00E41093"/>
    <w:rsid w:val="00E506AB"/>
    <w:rsid w:val="00EE526A"/>
    <w:rsid w:val="00F424BC"/>
    <w:rsid w:val="00F51DB0"/>
    <w:rsid w:val="00F878E8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 Rita T.</dc:creator>
  <cp:lastModifiedBy>Harmon Rita T.</cp:lastModifiedBy>
  <cp:revision>13</cp:revision>
  <cp:lastPrinted>2015-09-25T16:56:00Z</cp:lastPrinted>
  <dcterms:created xsi:type="dcterms:W3CDTF">2015-07-22T17:31:00Z</dcterms:created>
  <dcterms:modified xsi:type="dcterms:W3CDTF">2015-09-25T17:57:00Z</dcterms:modified>
</cp:coreProperties>
</file>