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77B1FA34" w:rsidR="002B41C1" w:rsidRPr="00537325" w:rsidRDefault="00BE2EFB" w:rsidP="002B41C1">
      <w:pPr>
        <w:rPr>
          <w:rFonts w:ascii="Arial" w:hAnsi="Arial"/>
          <w:sz w:val="22"/>
          <w:szCs w:val="22"/>
        </w:rPr>
      </w:pPr>
      <w:r w:rsidRPr="00537325">
        <w:rPr>
          <w:rFonts w:ascii="Arial" w:hAnsi="Arial"/>
          <w:sz w:val="22"/>
          <w:szCs w:val="22"/>
        </w:rPr>
        <w:t>January 17, 2023</w:t>
      </w:r>
    </w:p>
    <w:p w14:paraId="314E71E0" w14:textId="77777777" w:rsidR="002B41C1" w:rsidRPr="00537325" w:rsidRDefault="002B41C1" w:rsidP="002B41C1">
      <w:pPr>
        <w:rPr>
          <w:rFonts w:ascii="Arial" w:hAnsi="Arial"/>
          <w:sz w:val="22"/>
          <w:szCs w:val="22"/>
        </w:rPr>
      </w:pPr>
    </w:p>
    <w:p w14:paraId="29737837" w14:textId="79D8D55D" w:rsidR="002B41C1" w:rsidRPr="00537325" w:rsidRDefault="00BE2EFB" w:rsidP="002B41C1">
      <w:pPr>
        <w:rPr>
          <w:rFonts w:ascii="Arial" w:hAnsi="Arial"/>
          <w:sz w:val="22"/>
          <w:szCs w:val="22"/>
        </w:rPr>
      </w:pPr>
      <w:r w:rsidRPr="00537325">
        <w:rPr>
          <w:rFonts w:ascii="Arial" w:hAnsi="Arial"/>
          <w:sz w:val="22"/>
          <w:szCs w:val="22"/>
        </w:rPr>
        <w:t>Rick Metz</w:t>
      </w:r>
    </w:p>
    <w:p w14:paraId="4DD7A7A7" w14:textId="0796115C" w:rsidR="002B41C1" w:rsidRPr="00537325" w:rsidRDefault="00BE2EFB" w:rsidP="002B41C1">
      <w:pPr>
        <w:rPr>
          <w:rFonts w:ascii="Arial" w:hAnsi="Arial"/>
          <w:sz w:val="22"/>
          <w:szCs w:val="22"/>
        </w:rPr>
      </w:pPr>
      <w:r w:rsidRPr="00537325">
        <w:rPr>
          <w:rFonts w:ascii="Arial" w:hAnsi="Arial"/>
          <w:sz w:val="22"/>
          <w:szCs w:val="22"/>
        </w:rPr>
        <w:t>Rick Metz</w:t>
      </w:r>
    </w:p>
    <w:p w14:paraId="65478B0E" w14:textId="127E7C69" w:rsidR="002B41C1" w:rsidRPr="00537325" w:rsidRDefault="00BE2EFB" w:rsidP="002B41C1">
      <w:pPr>
        <w:rPr>
          <w:rFonts w:ascii="Arial" w:hAnsi="Arial"/>
          <w:sz w:val="22"/>
          <w:szCs w:val="22"/>
        </w:rPr>
      </w:pPr>
      <w:r w:rsidRPr="00537325">
        <w:rPr>
          <w:rFonts w:ascii="Arial" w:hAnsi="Arial"/>
          <w:sz w:val="22"/>
          <w:szCs w:val="22"/>
        </w:rPr>
        <w:t>366 Los Ranchos Rd. NW</w:t>
      </w:r>
    </w:p>
    <w:p w14:paraId="04AE8CAE" w14:textId="18FF010E" w:rsidR="002B41C1" w:rsidRPr="00537325" w:rsidRDefault="00BE2EFB" w:rsidP="002B41C1">
      <w:pPr>
        <w:rPr>
          <w:rFonts w:ascii="Arial" w:hAnsi="Arial"/>
          <w:sz w:val="22"/>
          <w:szCs w:val="22"/>
        </w:rPr>
      </w:pPr>
      <w:r w:rsidRPr="00537325">
        <w:rPr>
          <w:rFonts w:ascii="Arial" w:hAnsi="Arial"/>
          <w:sz w:val="22"/>
          <w:szCs w:val="22"/>
        </w:rPr>
        <w:t>Los Ranchos</w:t>
      </w:r>
      <w:r w:rsidR="002B41C1" w:rsidRPr="00537325">
        <w:rPr>
          <w:rFonts w:ascii="Arial" w:hAnsi="Arial"/>
          <w:sz w:val="22"/>
          <w:szCs w:val="22"/>
        </w:rPr>
        <w:t>, NM 87</w:t>
      </w:r>
      <w:r w:rsidRPr="00537325">
        <w:rPr>
          <w:rFonts w:ascii="Arial" w:hAnsi="Arial"/>
          <w:sz w:val="22"/>
          <w:szCs w:val="22"/>
        </w:rPr>
        <w:t>107</w:t>
      </w:r>
    </w:p>
    <w:p w14:paraId="3757949A" w14:textId="77777777" w:rsidR="002B41C1" w:rsidRPr="00537325" w:rsidRDefault="002B41C1" w:rsidP="002B41C1">
      <w:pPr>
        <w:rPr>
          <w:rFonts w:ascii="Arial" w:hAnsi="Arial"/>
          <w:sz w:val="22"/>
          <w:szCs w:val="22"/>
        </w:rPr>
      </w:pPr>
    </w:p>
    <w:p w14:paraId="35ECA3EC" w14:textId="6040CB4F" w:rsidR="002B41C1" w:rsidRPr="00537325" w:rsidRDefault="002B41C1" w:rsidP="002B41C1">
      <w:pPr>
        <w:pStyle w:val="InsideAddress"/>
        <w:rPr>
          <w:rFonts w:ascii="Arial" w:hAnsi="Arial" w:cs="Arial"/>
          <w:b/>
          <w:sz w:val="22"/>
          <w:szCs w:val="22"/>
        </w:rPr>
      </w:pPr>
      <w:r w:rsidRPr="00537325">
        <w:rPr>
          <w:rFonts w:ascii="Arial" w:hAnsi="Arial"/>
          <w:b/>
          <w:sz w:val="22"/>
          <w:szCs w:val="22"/>
        </w:rPr>
        <w:t>Re</w:t>
      </w:r>
      <w:r w:rsidRPr="00537325">
        <w:rPr>
          <w:rFonts w:ascii="Arial" w:hAnsi="Arial"/>
          <w:sz w:val="22"/>
          <w:szCs w:val="22"/>
        </w:rPr>
        <w:t>:</w:t>
      </w:r>
      <w:r w:rsidRPr="00537325">
        <w:rPr>
          <w:rFonts w:ascii="Arial" w:hAnsi="Arial"/>
          <w:sz w:val="22"/>
          <w:szCs w:val="22"/>
        </w:rPr>
        <w:tab/>
      </w:r>
      <w:r w:rsidR="00F228C0" w:rsidRPr="00537325">
        <w:rPr>
          <w:rFonts w:ascii="Arial" w:hAnsi="Arial" w:cs="Arial"/>
          <w:b/>
          <w:sz w:val="22"/>
          <w:szCs w:val="22"/>
        </w:rPr>
        <w:t xml:space="preserve">336 Woodward </w:t>
      </w:r>
    </w:p>
    <w:p w14:paraId="5259759E" w14:textId="236C5509" w:rsidR="002B41C1" w:rsidRPr="00537325" w:rsidRDefault="002B41C1" w:rsidP="002B41C1">
      <w:pPr>
        <w:pStyle w:val="InsideAddress"/>
        <w:rPr>
          <w:rFonts w:ascii="Arial" w:hAnsi="Arial" w:cs="Arial"/>
          <w:b/>
          <w:sz w:val="22"/>
          <w:szCs w:val="22"/>
        </w:rPr>
      </w:pPr>
      <w:r w:rsidRPr="00537325">
        <w:rPr>
          <w:rFonts w:ascii="Arial" w:hAnsi="Arial" w:cs="Arial"/>
          <w:b/>
          <w:sz w:val="22"/>
          <w:szCs w:val="22"/>
        </w:rPr>
        <w:tab/>
      </w:r>
      <w:r w:rsidR="00F228C0" w:rsidRPr="00537325">
        <w:rPr>
          <w:rFonts w:ascii="Arial" w:hAnsi="Arial" w:cs="Arial"/>
          <w:b/>
          <w:sz w:val="22"/>
          <w:szCs w:val="22"/>
        </w:rPr>
        <w:t>336 Woodward Ave. SE</w:t>
      </w:r>
    </w:p>
    <w:p w14:paraId="4D0202EB" w14:textId="77777777" w:rsidR="002B41C1" w:rsidRPr="00537325" w:rsidRDefault="002B41C1" w:rsidP="002B41C1">
      <w:pPr>
        <w:pStyle w:val="InsideAddress"/>
        <w:rPr>
          <w:rFonts w:ascii="Arial" w:hAnsi="Arial" w:cs="Arial"/>
          <w:b/>
          <w:sz w:val="22"/>
          <w:szCs w:val="22"/>
        </w:rPr>
      </w:pPr>
      <w:r w:rsidRPr="00537325">
        <w:rPr>
          <w:rFonts w:ascii="Arial" w:hAnsi="Arial" w:cs="Arial"/>
          <w:b/>
          <w:sz w:val="22"/>
          <w:szCs w:val="22"/>
        </w:rPr>
        <w:tab/>
        <w:t>Traffic Circulation Layout</w:t>
      </w:r>
    </w:p>
    <w:p w14:paraId="6136C703" w14:textId="2D86A249" w:rsidR="002B41C1" w:rsidRPr="00537325" w:rsidRDefault="002B41C1" w:rsidP="002B41C1">
      <w:pPr>
        <w:pStyle w:val="InsideAddress"/>
        <w:rPr>
          <w:rFonts w:ascii="Arial" w:hAnsi="Arial" w:cs="Arial"/>
          <w:sz w:val="22"/>
          <w:szCs w:val="22"/>
        </w:rPr>
      </w:pPr>
      <w:r w:rsidRPr="00537325">
        <w:rPr>
          <w:rFonts w:ascii="Arial" w:hAnsi="Arial" w:cs="Arial"/>
          <w:sz w:val="22"/>
          <w:szCs w:val="22"/>
        </w:rPr>
        <w:tab/>
        <w:t>Engineer’s/Architect’s Stamp XX-XX-XX (</w:t>
      </w:r>
      <w:r w:rsidR="00F228C0" w:rsidRPr="00537325">
        <w:rPr>
          <w:rFonts w:ascii="Arial" w:hAnsi="Arial" w:cs="Arial"/>
          <w:sz w:val="22"/>
          <w:szCs w:val="22"/>
        </w:rPr>
        <w:t>M14</w:t>
      </w:r>
      <w:r w:rsidRPr="00537325">
        <w:rPr>
          <w:rFonts w:ascii="Arial" w:hAnsi="Arial" w:cs="Arial"/>
          <w:sz w:val="22"/>
          <w:szCs w:val="22"/>
        </w:rPr>
        <w:t>-</w:t>
      </w:r>
      <w:r w:rsidR="00F228C0" w:rsidRPr="00537325">
        <w:rPr>
          <w:rFonts w:ascii="Arial" w:hAnsi="Arial" w:cs="Arial"/>
          <w:sz w:val="22"/>
          <w:szCs w:val="22"/>
        </w:rPr>
        <w:t>D037</w:t>
      </w:r>
      <w:r w:rsidRPr="00537325">
        <w:rPr>
          <w:rFonts w:ascii="Arial" w:hAnsi="Arial" w:cs="Arial"/>
          <w:sz w:val="22"/>
          <w:szCs w:val="22"/>
        </w:rPr>
        <w:t>)</w:t>
      </w:r>
    </w:p>
    <w:p w14:paraId="0D7DAF89" w14:textId="77777777" w:rsidR="002B41C1" w:rsidRPr="00537325" w:rsidRDefault="002B41C1" w:rsidP="002B41C1">
      <w:pPr>
        <w:rPr>
          <w:rFonts w:ascii="Arial" w:hAnsi="Arial"/>
          <w:sz w:val="22"/>
          <w:szCs w:val="22"/>
        </w:rPr>
      </w:pPr>
    </w:p>
    <w:p w14:paraId="29C3CE66" w14:textId="3A1321ED" w:rsidR="002B41C1" w:rsidRPr="006A7341" w:rsidRDefault="002B41C1" w:rsidP="002B41C1">
      <w:pPr>
        <w:rPr>
          <w:rFonts w:ascii="Arial" w:hAnsi="Arial"/>
          <w:sz w:val="22"/>
          <w:szCs w:val="22"/>
        </w:rPr>
      </w:pPr>
      <w:r w:rsidRPr="00537325">
        <w:rPr>
          <w:rFonts w:ascii="Arial" w:hAnsi="Arial"/>
          <w:sz w:val="22"/>
          <w:szCs w:val="22"/>
        </w:rPr>
        <w:t>Dear Mr.</w:t>
      </w:r>
      <w:r w:rsidR="00F228C0" w:rsidRPr="00537325">
        <w:rPr>
          <w:rFonts w:ascii="Arial" w:hAnsi="Arial"/>
          <w:sz w:val="22"/>
          <w:szCs w:val="22"/>
        </w:rPr>
        <w:t xml:space="preserve"> Metz</w:t>
      </w:r>
      <w:r w:rsidRPr="00537325">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76850857"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F228C0" w:rsidRPr="00537325">
        <w:rPr>
          <w:szCs w:val="22"/>
        </w:rPr>
        <w:t>12</w:t>
      </w:r>
      <w:r w:rsidRPr="00537325">
        <w:rPr>
          <w:szCs w:val="22"/>
        </w:rPr>
        <w:t>-</w:t>
      </w:r>
      <w:r w:rsidR="00F228C0" w:rsidRPr="00537325">
        <w:rPr>
          <w:szCs w:val="22"/>
        </w:rPr>
        <w:t>12</w:t>
      </w:r>
      <w:r w:rsidRPr="00537325">
        <w:rPr>
          <w:szCs w:val="22"/>
        </w:rPr>
        <w:t>-</w:t>
      </w:r>
      <w:r w:rsidR="00F228C0" w:rsidRPr="00537325">
        <w:rPr>
          <w:szCs w:val="22"/>
        </w:rPr>
        <w:t>22</w:t>
      </w:r>
      <w:r w:rsidRPr="006F4CCA">
        <w:rPr>
          <w:szCs w:val="22"/>
        </w:rPr>
        <w:t>, the above referenced plan cannot be approved for Building Permit until the following comments are addressed:</w:t>
      </w:r>
    </w:p>
    <w:p w14:paraId="6DD56DA3" w14:textId="77777777" w:rsidR="002B41C1" w:rsidRDefault="002B41C1" w:rsidP="002B41C1">
      <w:pPr>
        <w:pStyle w:val="BodyText"/>
        <w:numPr>
          <w:ilvl w:val="0"/>
          <w:numId w:val="1"/>
        </w:numPr>
        <w:tabs>
          <w:tab w:val="clear" w:pos="1080"/>
          <w:tab w:val="left" w:pos="0"/>
        </w:tabs>
        <w:spacing w:after="120"/>
        <w:ind w:left="734" w:hanging="547"/>
        <w:jc w:val="left"/>
        <w:rPr>
          <w:szCs w:val="22"/>
        </w:rPr>
      </w:pPr>
      <w:r>
        <w:rPr>
          <w:szCs w:val="22"/>
        </w:rPr>
        <w:t>List the number of parking spaces required by the IDO as well as the proposed number of parking spaces including bicycle and motorcycle parking.</w:t>
      </w:r>
    </w:p>
    <w:p w14:paraId="11E36943" w14:textId="77777777" w:rsidR="002B41C1" w:rsidRDefault="002B41C1" w:rsidP="002B41C1">
      <w:pPr>
        <w:pStyle w:val="BodyText"/>
        <w:numPr>
          <w:ilvl w:val="0"/>
          <w:numId w:val="1"/>
        </w:numPr>
        <w:tabs>
          <w:tab w:val="clear" w:pos="1080"/>
          <w:tab w:val="left" w:pos="0"/>
        </w:tabs>
        <w:spacing w:after="120"/>
        <w:ind w:left="734" w:hanging="547"/>
        <w:jc w:val="left"/>
        <w:rPr>
          <w:szCs w:val="22"/>
        </w:rPr>
      </w:pPr>
      <w:r w:rsidRPr="006F4CCA">
        <w:rPr>
          <w:szCs w:val="22"/>
        </w:rPr>
        <w:t xml:space="preserve">The traffic circulation layout must be stamped, signed, and dated by an engineer or architect licensed in the state of New Mexico.  </w:t>
      </w:r>
    </w:p>
    <w:p w14:paraId="3A6F2903" w14:textId="77777777" w:rsidR="002B41C1" w:rsidRDefault="002B41C1" w:rsidP="002B41C1">
      <w:pPr>
        <w:pStyle w:val="BodyText"/>
        <w:numPr>
          <w:ilvl w:val="0"/>
          <w:numId w:val="1"/>
        </w:numPr>
        <w:tabs>
          <w:tab w:val="clear" w:pos="1080"/>
        </w:tabs>
        <w:spacing w:after="120"/>
        <w:ind w:left="734" w:hanging="547"/>
        <w:jc w:val="left"/>
        <w:rPr>
          <w:szCs w:val="22"/>
        </w:rPr>
      </w:pPr>
      <w:r>
        <w:rPr>
          <w:szCs w:val="22"/>
        </w:rPr>
        <w:t>Identify all existing access easements and rights of way width dimensions.</w:t>
      </w:r>
    </w:p>
    <w:p w14:paraId="55853BAB" w14:textId="2C810231" w:rsidR="002B41C1" w:rsidRDefault="002B41C1" w:rsidP="002B41C1">
      <w:pPr>
        <w:pStyle w:val="BodyText"/>
        <w:numPr>
          <w:ilvl w:val="0"/>
          <w:numId w:val="1"/>
        </w:numPr>
        <w:tabs>
          <w:tab w:val="clear" w:pos="1080"/>
        </w:tabs>
        <w:spacing w:after="120"/>
        <w:ind w:left="734" w:hanging="547"/>
        <w:jc w:val="left"/>
        <w:rPr>
          <w:szCs w:val="22"/>
        </w:rPr>
      </w:pPr>
      <w:r>
        <w:rPr>
          <w:szCs w:val="22"/>
        </w:rPr>
        <w:t xml:space="preserve">Identify the right of way width, medians, curb cuts, and street widths on </w:t>
      </w:r>
      <w:r w:rsidR="00F228C0" w:rsidRPr="00537325">
        <w:rPr>
          <w:szCs w:val="22"/>
        </w:rPr>
        <w:t>Woodward Rd. SE</w:t>
      </w:r>
      <w:r>
        <w:rPr>
          <w:szCs w:val="22"/>
        </w:rPr>
        <w:t>.</w:t>
      </w:r>
    </w:p>
    <w:p w14:paraId="734EF851" w14:textId="3AD3F3DC" w:rsidR="002B41C1" w:rsidRDefault="00DB55C6" w:rsidP="002B41C1">
      <w:pPr>
        <w:pStyle w:val="BodyText"/>
        <w:numPr>
          <w:ilvl w:val="0"/>
          <w:numId w:val="1"/>
        </w:numPr>
        <w:tabs>
          <w:tab w:val="clear" w:pos="1080"/>
        </w:tabs>
        <w:spacing w:after="120"/>
        <w:ind w:left="734" w:hanging="547"/>
        <w:jc w:val="left"/>
        <w:rPr>
          <w:szCs w:val="22"/>
        </w:rPr>
      </w:pPr>
      <w:r>
        <w:rPr>
          <w:szCs w:val="22"/>
        </w:rPr>
        <w:t xml:space="preserve">Please define property line. </w:t>
      </w:r>
      <w:r w:rsidR="002B41C1">
        <w:rPr>
          <w:szCs w:val="22"/>
        </w:rPr>
        <w:t>Clarify existing property lines and proposed property lines.</w:t>
      </w:r>
    </w:p>
    <w:p w14:paraId="703F14A3" w14:textId="4B4763D8" w:rsidR="00DB55C6" w:rsidRDefault="00DB55C6" w:rsidP="002B41C1">
      <w:pPr>
        <w:pStyle w:val="BodyText"/>
        <w:numPr>
          <w:ilvl w:val="0"/>
          <w:numId w:val="1"/>
        </w:numPr>
        <w:tabs>
          <w:tab w:val="clear" w:pos="1080"/>
        </w:tabs>
        <w:spacing w:after="120"/>
        <w:ind w:left="734" w:hanging="547"/>
        <w:jc w:val="left"/>
        <w:rPr>
          <w:szCs w:val="22"/>
        </w:rPr>
      </w:pPr>
      <w:r>
        <w:rPr>
          <w:szCs w:val="22"/>
        </w:rPr>
        <w:t xml:space="preserve">Provide the angle for the angled parking. See attached angle parking requirements. </w:t>
      </w:r>
    </w:p>
    <w:p w14:paraId="294B78A4"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The ADA accessible spaces must include an access aisle. Van accessible aisles should be 8ft wide; all others should be 5ft wide.</w:t>
      </w:r>
    </w:p>
    <w:p w14:paraId="4F5FFA7A" w14:textId="77777777" w:rsidR="002B41C1" w:rsidRPr="00267C31" w:rsidRDefault="002B41C1" w:rsidP="002B41C1">
      <w:pPr>
        <w:pStyle w:val="BodyText"/>
        <w:numPr>
          <w:ilvl w:val="0"/>
          <w:numId w:val="1"/>
        </w:numPr>
        <w:tabs>
          <w:tab w:val="clear" w:pos="1080"/>
          <w:tab w:val="left" w:pos="0"/>
        </w:tabs>
        <w:spacing w:after="120"/>
        <w:ind w:left="734" w:hanging="547"/>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b/>
          <w:szCs w:val="22"/>
        </w:rPr>
        <w:t xml:space="preserve">  </w:t>
      </w:r>
      <w:r>
        <w:rPr>
          <w:szCs w:val="22"/>
        </w:rPr>
        <w:t>Please call out detail and location of signs.</w:t>
      </w:r>
    </w:p>
    <w:p w14:paraId="41281936" w14:textId="77777777" w:rsidR="00537325"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14:paraId="3018FE6D" w14:textId="292430A7" w:rsidR="002B41C1" w:rsidRDefault="00537325" w:rsidP="002B41C1">
      <w:pPr>
        <w:pStyle w:val="BodyText"/>
        <w:numPr>
          <w:ilvl w:val="0"/>
          <w:numId w:val="1"/>
        </w:numPr>
        <w:tabs>
          <w:tab w:val="clear" w:pos="1080"/>
          <w:tab w:val="left" w:pos="0"/>
        </w:tabs>
        <w:spacing w:after="120"/>
        <w:ind w:left="734" w:hanging="547"/>
        <w:rPr>
          <w:szCs w:val="22"/>
        </w:rPr>
      </w:pPr>
      <w:r>
        <w:rPr>
          <w:szCs w:val="22"/>
        </w:rPr>
        <w:t xml:space="preserve">Please provide the Type of the Gate, and show the required turnarounds before the gate. To ensure there is enough space for a </w:t>
      </w:r>
      <w:r w:rsidR="00612517">
        <w:rPr>
          <w:szCs w:val="22"/>
        </w:rPr>
        <w:t>vehicle</w:t>
      </w:r>
      <w:r>
        <w:rPr>
          <w:szCs w:val="22"/>
        </w:rPr>
        <w:t xml:space="preserve"> to turn around without backing into the roadway. </w:t>
      </w:r>
      <w:r w:rsidR="002B41C1" w:rsidRPr="00267C31">
        <w:rPr>
          <w:szCs w:val="22"/>
        </w:rPr>
        <w:t xml:space="preserve"> </w:t>
      </w:r>
    </w:p>
    <w:p w14:paraId="00F43117" w14:textId="07E2A432" w:rsidR="002B41C1" w:rsidRDefault="002B41C1" w:rsidP="002B41C1">
      <w:pPr>
        <w:pStyle w:val="BodyText"/>
        <w:numPr>
          <w:ilvl w:val="0"/>
          <w:numId w:val="1"/>
        </w:numPr>
        <w:tabs>
          <w:tab w:val="clear" w:pos="1080"/>
          <w:tab w:val="left" w:pos="0"/>
        </w:tabs>
        <w:spacing w:after="120"/>
        <w:ind w:left="720" w:hanging="540"/>
        <w:jc w:val="left"/>
        <w:rPr>
          <w:szCs w:val="22"/>
        </w:rPr>
      </w:pPr>
      <w:r w:rsidRPr="00847620">
        <w:rPr>
          <w:szCs w:val="22"/>
        </w:rPr>
        <w:t>Motorcycle parking spaces shall be designated by its own conspicuously posted upright sign, either free-standing or wall mounted per the zoning code.</w:t>
      </w:r>
    </w:p>
    <w:p w14:paraId="1CC1D693" w14:textId="6B2BF4E3" w:rsidR="002E0A8F" w:rsidRPr="002E0A8F" w:rsidRDefault="002E0A8F" w:rsidP="002E0A8F">
      <w:pPr>
        <w:pStyle w:val="BodyText"/>
        <w:numPr>
          <w:ilvl w:val="0"/>
          <w:numId w:val="1"/>
        </w:numPr>
        <w:tabs>
          <w:tab w:val="left" w:pos="0"/>
        </w:tabs>
        <w:spacing w:after="120"/>
        <w:jc w:val="left"/>
      </w:pPr>
      <w:r>
        <w:t xml:space="preserve">The pavement marking </w:t>
      </w:r>
      <w:r w:rsidRPr="00D34526">
        <w:t xml:space="preserve">“MC” </w:t>
      </w:r>
      <w:r>
        <w:t xml:space="preserve">should be shown in the opposite direction for motorcycles entering the parking space.   </w:t>
      </w:r>
    </w:p>
    <w:p w14:paraId="330BF42E"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lastRenderedPageBreak/>
        <w:t xml:space="preserve">All bicycle racks shall be designed according to the following guidelines: </w:t>
      </w:r>
    </w:p>
    <w:p w14:paraId="6CA364B9"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a minimum 30 inches tall and 18 inches wide. </w:t>
      </w:r>
    </w:p>
    <w:p w14:paraId="535BF4A5"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bicycle frame shall be supported horizontally at two or more places. Comb/toaster racks are not allowed. </w:t>
      </w:r>
    </w:p>
    <w:p w14:paraId="09C54186"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designed to support the bicycle in an upright position.  See the IDO for additional information. </w:t>
      </w:r>
    </w:p>
    <w:p w14:paraId="6F6F7483"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rack allows varying bicycle frame sizes and styles to be attached.</w:t>
      </w:r>
    </w:p>
    <w:p w14:paraId="21D5C6B2"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user is not required to lift the bicycle onto the bicycle rack.</w:t>
      </w:r>
    </w:p>
    <w:p w14:paraId="21344CF1"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Each bicycle parking space is accessible without moving another bicycle.</w:t>
      </w:r>
    </w:p>
    <w:p w14:paraId="6E788ED1"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Bicycle racks shall be sturdy and anchored to a concrete pad.</w:t>
      </w:r>
    </w:p>
    <w:p w14:paraId="220BDCE4"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A 1-foot clear zone around the bicycle parking stall shall be provided.</w:t>
      </w:r>
    </w:p>
    <w:p w14:paraId="3C25DF22"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 xml:space="preserve">Bicycle parking spaces shall be at least 6 feet long and 2 feet wide. </w:t>
      </w:r>
    </w:p>
    <w:p w14:paraId="179AC253"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Per the IDO, a 6 ft. wide ADA accessible pedestrian pathway is required from the public sidewalk to the building entrances.  Please clearly show this pathway and provide details.</w:t>
      </w:r>
    </w:p>
    <w:p w14:paraId="271DB994"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Per DPM, a 6 ft. wide ADA accessible pedestrian pathway is required from the ADA parking stall access aisles to the building entrances.  Please clearly show this pathway and provide details.</w:t>
      </w:r>
    </w:p>
    <w:p w14:paraId="3A652AEC"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ADA accessible pedestrian pathway should not be placed behind parking space or adjacent to a vehicular way. Vehicle and pedestrian/wheel chair conflicts should be avoided as much as possible.</w:t>
      </w:r>
    </w:p>
    <w:p w14:paraId="562C7680"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All sidewalks along streets should be placed at the property line.</w:t>
      </w:r>
    </w:p>
    <w:p w14:paraId="3EE792C6" w14:textId="3A1D158A" w:rsidR="002B41C1" w:rsidRPr="003F5231" w:rsidRDefault="00793030" w:rsidP="002B41C1">
      <w:pPr>
        <w:pStyle w:val="BodyText"/>
        <w:numPr>
          <w:ilvl w:val="0"/>
          <w:numId w:val="1"/>
        </w:numPr>
        <w:tabs>
          <w:tab w:val="clear" w:pos="1080"/>
          <w:tab w:val="left" w:pos="0"/>
        </w:tabs>
        <w:spacing w:after="120"/>
        <w:ind w:left="720" w:hanging="540"/>
        <w:jc w:val="left"/>
        <w:rPr>
          <w:szCs w:val="22"/>
        </w:rPr>
      </w:pPr>
      <w:r>
        <w:rPr>
          <w:szCs w:val="22"/>
        </w:rPr>
        <w:t xml:space="preserve">ADA </w:t>
      </w:r>
      <w:r w:rsidR="002B41C1" w:rsidRPr="003F5231">
        <w:rPr>
          <w:szCs w:val="22"/>
        </w:rPr>
        <w:t xml:space="preserve">Parking areas shall have barriers to prevent vehicles from extending over </w:t>
      </w:r>
      <w:r>
        <w:rPr>
          <w:szCs w:val="22"/>
        </w:rPr>
        <w:t>or hit the ADA signs.</w:t>
      </w:r>
    </w:p>
    <w:p w14:paraId="54F69B29" w14:textId="6D302247" w:rsidR="002B41C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Refuse vehicle maneuvering shall be contained on-</w:t>
      </w:r>
      <w:r w:rsidR="00612517" w:rsidRPr="003F5231">
        <w:rPr>
          <w:szCs w:val="22"/>
        </w:rPr>
        <w:t>site. The</w:t>
      </w:r>
      <w:r w:rsidRPr="003F5231">
        <w:rPr>
          <w:szCs w:val="22"/>
        </w:rPr>
        <w:t xml:space="preserve"> refuse vehicle shall not back into the public right of way.; provide</w:t>
      </w:r>
      <w:r w:rsidRPr="004310B5">
        <w:rPr>
          <w:szCs w:val="22"/>
        </w:rPr>
        <w:t xml:space="preserve"> a copy of </w:t>
      </w:r>
      <w:r>
        <w:rPr>
          <w:szCs w:val="22"/>
        </w:rPr>
        <w:t>refuse approval.</w:t>
      </w:r>
    </w:p>
    <w:p w14:paraId="326AC508" w14:textId="5B5F9803" w:rsidR="00793030" w:rsidRDefault="00793030" w:rsidP="002B41C1">
      <w:pPr>
        <w:pStyle w:val="BodyText"/>
        <w:numPr>
          <w:ilvl w:val="0"/>
          <w:numId w:val="1"/>
        </w:numPr>
        <w:tabs>
          <w:tab w:val="clear" w:pos="1080"/>
          <w:tab w:val="left" w:pos="0"/>
        </w:tabs>
        <w:spacing w:after="120"/>
        <w:ind w:left="720" w:hanging="540"/>
        <w:jc w:val="left"/>
        <w:rPr>
          <w:szCs w:val="22"/>
        </w:rPr>
      </w:pPr>
      <w:r>
        <w:rPr>
          <w:szCs w:val="22"/>
        </w:rPr>
        <w:t>Please provide copy of Fire Marshal approval.</w:t>
      </w:r>
    </w:p>
    <w:p w14:paraId="654DA82A" w14:textId="77777777" w:rsidR="00793030" w:rsidRDefault="002B41C1" w:rsidP="00793030">
      <w:pPr>
        <w:pStyle w:val="BodyText"/>
        <w:numPr>
          <w:ilvl w:val="0"/>
          <w:numId w:val="1"/>
        </w:numPr>
        <w:tabs>
          <w:tab w:val="clear" w:pos="1080"/>
          <w:tab w:val="left" w:pos="0"/>
        </w:tabs>
        <w:spacing w:after="120"/>
        <w:ind w:left="720" w:hanging="540"/>
        <w:jc w:val="left"/>
        <w:rPr>
          <w:szCs w:val="22"/>
        </w:rPr>
      </w:pPr>
      <w:r w:rsidRPr="006F4CCA">
        <w:rPr>
          <w:szCs w:val="22"/>
        </w:rPr>
        <w:t>Please provide a sight distance exhibit</w:t>
      </w:r>
      <w:r w:rsidR="00793030">
        <w:rPr>
          <w:szCs w:val="22"/>
        </w:rPr>
        <w:t xml:space="preserve">. and </w:t>
      </w:r>
      <w:r w:rsidR="00793030" w:rsidRPr="006F4CCA">
        <w:rPr>
          <w:szCs w:val="22"/>
        </w:rPr>
        <w:t>add the following note</w:t>
      </w:r>
      <w:r w:rsidR="00793030">
        <w:rPr>
          <w:szCs w:val="22"/>
        </w:rPr>
        <w:t xml:space="preserve"> to the plan</w:t>
      </w:r>
      <w:r w:rsidR="00793030" w:rsidRPr="006F4CCA">
        <w:rPr>
          <w:szCs w:val="22"/>
        </w:rPr>
        <w:t>: “Landscaping and sign</w:t>
      </w:r>
      <w:r w:rsidR="00793030">
        <w:rPr>
          <w:szCs w:val="22"/>
        </w:rPr>
        <w:t>age</w:t>
      </w:r>
      <w:r w:rsidR="00793030" w:rsidRPr="006F4CCA">
        <w:rPr>
          <w:szCs w:val="22"/>
        </w:rPr>
        <w:t xml:space="preserve"> will not interfere with clear sight requirements.  Therefore, signs, walls, trees, and shrubbery between 3 and 8 feet tall (as measured from the gutter pan) will not be acceptable in </w:t>
      </w:r>
      <w:r w:rsidR="00793030">
        <w:rPr>
          <w:szCs w:val="22"/>
        </w:rPr>
        <w:t>the clear sight triangle.</w:t>
      </w:r>
      <w:r w:rsidR="00793030" w:rsidRPr="006F4CCA">
        <w:rPr>
          <w:szCs w:val="22"/>
        </w:rPr>
        <w:t xml:space="preserve"> </w:t>
      </w:r>
    </w:p>
    <w:p w14:paraId="057C232F" w14:textId="5AD38EE4" w:rsidR="002B41C1" w:rsidRPr="00793030" w:rsidRDefault="002B41C1" w:rsidP="00793030">
      <w:pPr>
        <w:pStyle w:val="BodyText"/>
        <w:numPr>
          <w:ilvl w:val="0"/>
          <w:numId w:val="1"/>
        </w:numPr>
        <w:tabs>
          <w:tab w:val="clear" w:pos="1080"/>
          <w:tab w:val="left" w:pos="0"/>
        </w:tabs>
        <w:spacing w:after="120"/>
        <w:ind w:left="720" w:hanging="540"/>
        <w:jc w:val="left"/>
        <w:rPr>
          <w:szCs w:val="22"/>
        </w:rPr>
      </w:pPr>
      <w:r>
        <w:rPr>
          <w:szCs w:val="22"/>
        </w:rPr>
        <w:t>Please specify the City Standard Drawing Number when applicable.</w:t>
      </w:r>
    </w:p>
    <w:p w14:paraId="065E8883" w14:textId="7E1A4A04"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Add a note stating “All broken or cracked sidewalk</w:t>
      </w:r>
      <w:r w:rsidRPr="006F4CCA">
        <w:rPr>
          <w:szCs w:val="22"/>
        </w:rPr>
        <w:t xml:space="preserve"> must be replaced with sidewalk and curb &amp; gutter.</w:t>
      </w:r>
      <w:r>
        <w:rPr>
          <w:szCs w:val="22"/>
        </w:rPr>
        <w:t>”</w:t>
      </w:r>
      <w:r w:rsidRPr="006F4CCA">
        <w:rPr>
          <w:szCs w:val="22"/>
        </w:rPr>
        <w:t xml:space="preserve"> A build note must be provided referring to the appropriate City Standard</w:t>
      </w:r>
      <w:r>
        <w:rPr>
          <w:szCs w:val="22"/>
        </w:rPr>
        <w:t xml:space="preserve"> drawing</w:t>
      </w:r>
      <w:r w:rsidRPr="006F4CCA">
        <w:rPr>
          <w:szCs w:val="22"/>
        </w:rPr>
        <w:t>.</w:t>
      </w:r>
    </w:p>
    <w:p w14:paraId="2F36C472" w14:textId="69084EC4" w:rsidR="00204D63" w:rsidRDefault="00204D63" w:rsidP="00204D63">
      <w:pPr>
        <w:pStyle w:val="BodyText"/>
        <w:numPr>
          <w:ilvl w:val="0"/>
          <w:numId w:val="1"/>
        </w:numPr>
        <w:tabs>
          <w:tab w:val="clear" w:pos="1080"/>
          <w:tab w:val="left" w:pos="0"/>
        </w:tabs>
        <w:spacing w:after="120"/>
        <w:ind w:left="720" w:hanging="540"/>
        <w:jc w:val="left"/>
        <w:rPr>
          <w:szCs w:val="22"/>
        </w:rPr>
      </w:pPr>
      <w:r w:rsidRPr="00204D63">
        <w:rPr>
          <w:szCs w:val="22"/>
        </w:rPr>
        <w:t>Please provide a letter of response for all comments given.</w:t>
      </w:r>
    </w:p>
    <w:p w14:paraId="636AA49F" w14:textId="77777777" w:rsidR="00077302" w:rsidRPr="00E135CB" w:rsidRDefault="00077302" w:rsidP="00077302">
      <w:pPr>
        <w:pStyle w:val="BodyText"/>
        <w:numPr>
          <w:ilvl w:val="0"/>
          <w:numId w:val="1"/>
        </w:numPr>
        <w:tabs>
          <w:tab w:val="clear" w:pos="1080"/>
          <w:tab w:val="left" w:pos="0"/>
        </w:tabs>
        <w:spacing w:after="120"/>
        <w:ind w:left="720" w:hanging="540"/>
        <w:jc w:val="left"/>
        <w:rPr>
          <w:b/>
          <w:szCs w:val="22"/>
        </w:rPr>
      </w:pPr>
      <w:r w:rsidRPr="00E135CB">
        <w:rPr>
          <w:szCs w:val="22"/>
        </w:rPr>
        <w:lastRenderedPageBreak/>
        <w:t xml:space="preserve">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 </w:t>
      </w:r>
      <w:r w:rsidRPr="00E135CB">
        <w:rPr>
          <w:b/>
          <w:szCs w:val="22"/>
        </w:rPr>
        <w:t xml:space="preserve">(Contact Matt Grush: </w:t>
      </w:r>
      <w:hyperlink r:id="rId8" w:history="1">
        <w:r w:rsidRPr="00E135CB">
          <w:rPr>
            <w:rStyle w:val="Hyperlink"/>
            <w:b/>
            <w:szCs w:val="22"/>
          </w:rPr>
          <w:t>mgrush@cabq.gov</w:t>
        </w:r>
      </w:hyperlink>
      <w:r w:rsidRPr="00E135CB">
        <w:rPr>
          <w:b/>
          <w:szCs w:val="22"/>
        </w:rPr>
        <w:t>).</w:t>
      </w:r>
    </w:p>
    <w:p w14:paraId="7EC2A990" w14:textId="77777777" w:rsidR="00077302" w:rsidRPr="00204D63" w:rsidRDefault="00077302" w:rsidP="00077302">
      <w:pPr>
        <w:pStyle w:val="BodyText"/>
        <w:tabs>
          <w:tab w:val="left" w:pos="0"/>
        </w:tabs>
        <w:spacing w:after="120"/>
        <w:ind w:left="720"/>
        <w:jc w:val="left"/>
        <w:rPr>
          <w:szCs w:val="22"/>
        </w:rPr>
      </w:pPr>
    </w:p>
    <w:p w14:paraId="5196847F" w14:textId="77777777" w:rsidR="00204D63" w:rsidRPr="00C458A8" w:rsidRDefault="00204D63" w:rsidP="00204D63">
      <w:pPr>
        <w:pStyle w:val="BodyText"/>
        <w:tabs>
          <w:tab w:val="left" w:pos="0"/>
        </w:tabs>
        <w:spacing w:after="120"/>
        <w:ind w:left="7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9"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395A92BE"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537325">
        <w:rPr>
          <w:rFonts w:ascii="Arial" w:hAnsi="Arial" w:cs="Arial"/>
          <w:sz w:val="22"/>
          <w:szCs w:val="22"/>
          <w:highlight w:val="yellow"/>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37851500" w14:textId="022B312B" w:rsidR="002B41C1" w:rsidRDefault="00181DB4" w:rsidP="002B41C1">
      <w:pPr>
        <w:rPr>
          <w:rFonts w:ascii="Arial" w:hAnsi="Arial"/>
          <w:sz w:val="22"/>
          <w:szCs w:val="22"/>
        </w:rPr>
      </w:pPr>
      <w:r>
        <w:rPr>
          <w:noProof/>
        </w:rPr>
        <w:drawing>
          <wp:inline distT="0" distB="0" distL="0" distR="0" wp14:anchorId="4E09F6E4" wp14:editId="6F51727A">
            <wp:extent cx="2681605" cy="818515"/>
            <wp:effectExtent l="0" t="0" r="4445" b="635"/>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10"/>
                    <a:stretch>
                      <a:fillRect/>
                    </a:stretch>
                  </pic:blipFill>
                  <pic:spPr>
                    <a:xfrm>
                      <a:off x="0" y="0"/>
                      <a:ext cx="2681605" cy="818515"/>
                    </a:xfrm>
                    <a:prstGeom prst="rect">
                      <a:avLst/>
                    </a:prstGeom>
                  </pic:spPr>
                </pic:pic>
              </a:graphicData>
            </a:graphic>
          </wp:inline>
        </w:drawing>
      </w:r>
      <w:bookmarkStart w:id="0" w:name="_GoBack"/>
      <w:bookmarkEnd w:id="0"/>
    </w:p>
    <w:p w14:paraId="2DE8A6A6" w14:textId="514DFBB4" w:rsidR="00612517" w:rsidRDefault="00612517" w:rsidP="002B41C1">
      <w:pPr>
        <w:rPr>
          <w:rFonts w:ascii="Arial" w:hAnsi="Arial"/>
          <w:sz w:val="22"/>
          <w:szCs w:val="22"/>
        </w:rPr>
      </w:pPr>
    </w:p>
    <w:p w14:paraId="37BE1A95" w14:textId="77777777" w:rsidR="00612517" w:rsidRDefault="00612517"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6DF162FC" w14:textId="77777777" w:rsidR="002B41C1" w:rsidRDefault="002B41C1" w:rsidP="002B41C1">
      <w:pPr>
        <w:tabs>
          <w:tab w:val="left" w:pos="540"/>
        </w:tabs>
        <w:jc w:val="both"/>
        <w:rPr>
          <w:rFonts w:ascii="Arial" w:hAnsi="Arial"/>
          <w:sz w:val="22"/>
          <w:szCs w:val="22"/>
        </w:rPr>
      </w:pPr>
    </w:p>
    <w:p w14:paraId="606F555B" w14:textId="4A830418" w:rsidR="002B41C1" w:rsidRPr="00537325" w:rsidRDefault="002B41C1" w:rsidP="002B41C1">
      <w:pPr>
        <w:tabs>
          <w:tab w:val="left" w:pos="540"/>
        </w:tabs>
        <w:rPr>
          <w:rFonts w:ascii="Arial" w:hAnsi="Arial"/>
          <w:sz w:val="22"/>
          <w:szCs w:val="22"/>
        </w:rPr>
      </w:pPr>
      <w:r w:rsidRPr="00537325">
        <w:rPr>
          <w:rFonts w:ascii="Arial" w:hAnsi="Arial"/>
          <w:sz w:val="22"/>
          <w:szCs w:val="22"/>
        </w:rPr>
        <w:t>M</w:t>
      </w:r>
      <w:r w:rsidR="00E6083A" w:rsidRPr="00537325">
        <w:rPr>
          <w:rFonts w:ascii="Arial" w:hAnsi="Arial"/>
          <w:sz w:val="22"/>
          <w:szCs w:val="22"/>
        </w:rPr>
        <w:t>arwa Al-najjar</w:t>
      </w:r>
    </w:p>
    <w:p w14:paraId="2A2A6EFC" w14:textId="77777777" w:rsidR="002B41C1" w:rsidRPr="00537325" w:rsidRDefault="002B41C1" w:rsidP="002B41C1">
      <w:pPr>
        <w:tabs>
          <w:tab w:val="left" w:pos="540"/>
        </w:tabs>
        <w:rPr>
          <w:rFonts w:ascii="Arial" w:hAnsi="Arial"/>
          <w:sz w:val="22"/>
          <w:szCs w:val="22"/>
        </w:rPr>
      </w:pPr>
      <w:r w:rsidRPr="00537325">
        <w:rPr>
          <w:rFonts w:ascii="Arial" w:hAnsi="Arial"/>
          <w:sz w:val="22"/>
          <w:szCs w:val="22"/>
        </w:rPr>
        <w:t>Associate Engineer, Planning Dept.</w:t>
      </w:r>
    </w:p>
    <w:p w14:paraId="38F074BE" w14:textId="77777777" w:rsidR="002B41C1" w:rsidRPr="00537325" w:rsidRDefault="002B41C1" w:rsidP="002B41C1">
      <w:pPr>
        <w:tabs>
          <w:tab w:val="left" w:pos="540"/>
        </w:tabs>
        <w:rPr>
          <w:rFonts w:ascii="Arial" w:hAnsi="Arial"/>
          <w:sz w:val="22"/>
          <w:szCs w:val="22"/>
        </w:rPr>
      </w:pPr>
      <w:r w:rsidRPr="00537325">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51B67BFB" w:rsidR="002B41C1" w:rsidRDefault="002B41C1" w:rsidP="002B41C1">
      <w:pPr>
        <w:rPr>
          <w:rFonts w:ascii="Arial" w:hAnsi="Arial" w:cs="Arial"/>
          <w:sz w:val="22"/>
          <w:szCs w:val="22"/>
        </w:rPr>
      </w:pPr>
      <w:r>
        <w:rPr>
          <w:rFonts w:ascii="Arial" w:hAnsi="Arial" w:cs="Arial"/>
          <w:sz w:val="22"/>
          <w:szCs w:val="22"/>
        </w:rPr>
        <w:t>\</w:t>
      </w:r>
      <w:r w:rsidR="00537325">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even" r:id="rId11"/>
      <w:headerReference w:type="default" r:id="rId12"/>
      <w:footerReference w:type="even" r:id="rId13"/>
      <w:footerReference w:type="default" r:id="rId14"/>
      <w:headerReference w:type="first" r:id="rId15"/>
      <w:footerReference w:type="first" r:id="rId16"/>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73A60" w14:textId="77777777" w:rsidR="008E7683" w:rsidRDefault="008E7683">
      <w:r>
        <w:separator/>
      </w:r>
    </w:p>
  </w:endnote>
  <w:endnote w:type="continuationSeparator" w:id="0">
    <w:p w14:paraId="7028F278" w14:textId="77777777" w:rsidR="008E7683" w:rsidRDefault="008E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D452" w14:textId="77777777" w:rsidR="006C6573" w:rsidRDefault="006C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4C63EC94"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01A8" w14:textId="77777777" w:rsidR="006C6573" w:rsidRDefault="006C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E00A0" w14:textId="77777777" w:rsidR="008E7683" w:rsidRDefault="008E7683">
      <w:r>
        <w:separator/>
      </w:r>
    </w:p>
  </w:footnote>
  <w:footnote w:type="continuationSeparator" w:id="0">
    <w:p w14:paraId="71A0E628" w14:textId="77777777" w:rsidR="008E7683" w:rsidRDefault="008E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107B" w14:textId="77777777" w:rsidR="006C6573" w:rsidRDefault="006C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50C29887" w:rsidR="00D45A14" w:rsidRPr="00371A6D" w:rsidRDefault="006C6573" w:rsidP="003B08CA">
    <w:pPr>
      <w:ind w:left="-720"/>
    </w:pPr>
    <w:r>
      <w:t>Alan Varela</w:t>
    </w:r>
    <w:r w:rsidR="009F5FD8" w:rsidRPr="00371A6D">
      <w:t>, Director</w:t>
    </w:r>
  </w:p>
  <w:p w14:paraId="627F2942" w14:textId="77777777" w:rsidR="00D45A14" w:rsidRPr="00EA626D" w:rsidRDefault="008E7683" w:rsidP="002D4025">
    <w:pPr>
      <w:ind w:left="-720"/>
    </w:pPr>
  </w:p>
  <w:p w14:paraId="435EB267" w14:textId="77777777" w:rsidR="00D45A14" w:rsidRPr="00EA626D" w:rsidRDefault="008E7683" w:rsidP="002D4025">
    <w:pPr>
      <w:ind w:left="-720"/>
    </w:pPr>
  </w:p>
  <w:p w14:paraId="388996EC" w14:textId="77777777" w:rsidR="006C6573"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rsidR="006C6573">
      <w:t xml:space="preserve">    </w:t>
    </w:r>
  </w:p>
  <w:p w14:paraId="22EEE2B3" w14:textId="62E53FBB" w:rsidR="00D45A14" w:rsidRPr="00EA626D" w:rsidRDefault="006C6573" w:rsidP="006C6573">
    <w:pPr>
      <w:ind w:left="5760" w:firstLine="720"/>
      <w:rPr>
        <w:i/>
      </w:rPr>
    </w:pPr>
    <w:r>
      <w:t xml:space="preserve">      </w:t>
    </w:r>
    <w:r w:rsidR="009F5FD8">
      <w:t xml:space="preserve"> </w:t>
    </w:r>
    <w:r w:rsidR="009F5FD8" w:rsidRPr="00EA626D">
      <w:rPr>
        <w:i/>
      </w:rPr>
      <w:t>Mayor Timothy M. Keller</w:t>
    </w:r>
  </w:p>
  <w:p w14:paraId="417BB93B" w14:textId="77777777" w:rsidR="00D45A14" w:rsidRPr="00EA626D" w:rsidRDefault="008E7683"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84864"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381D" w14:textId="77777777" w:rsidR="006C6573" w:rsidRDefault="006C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7BC"/>
    <w:multiLevelType w:val="hybridMultilevel"/>
    <w:tmpl w:val="E968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26C32"/>
    <w:rsid w:val="00032919"/>
    <w:rsid w:val="00077302"/>
    <w:rsid w:val="000F33EA"/>
    <w:rsid w:val="001027B3"/>
    <w:rsid w:val="00127241"/>
    <w:rsid w:val="00131141"/>
    <w:rsid w:val="00131331"/>
    <w:rsid w:val="00172A2F"/>
    <w:rsid w:val="00181DB4"/>
    <w:rsid w:val="001D2DC0"/>
    <w:rsid w:val="001E2877"/>
    <w:rsid w:val="0020233B"/>
    <w:rsid w:val="00204D63"/>
    <w:rsid w:val="002333CD"/>
    <w:rsid w:val="00241DBC"/>
    <w:rsid w:val="002563A0"/>
    <w:rsid w:val="00267C31"/>
    <w:rsid w:val="00280365"/>
    <w:rsid w:val="002B41C1"/>
    <w:rsid w:val="002E0A8F"/>
    <w:rsid w:val="003063A3"/>
    <w:rsid w:val="00310301"/>
    <w:rsid w:val="00343AF7"/>
    <w:rsid w:val="00380AD9"/>
    <w:rsid w:val="003C47C1"/>
    <w:rsid w:val="003D50B6"/>
    <w:rsid w:val="003E19B8"/>
    <w:rsid w:val="003E2AD6"/>
    <w:rsid w:val="003F2185"/>
    <w:rsid w:val="003F5231"/>
    <w:rsid w:val="004310B5"/>
    <w:rsid w:val="004702DF"/>
    <w:rsid w:val="00477C4C"/>
    <w:rsid w:val="004800D2"/>
    <w:rsid w:val="004A0CFC"/>
    <w:rsid w:val="00511025"/>
    <w:rsid w:val="00521628"/>
    <w:rsid w:val="00537325"/>
    <w:rsid w:val="00583013"/>
    <w:rsid w:val="005876F9"/>
    <w:rsid w:val="00596B55"/>
    <w:rsid w:val="005C179F"/>
    <w:rsid w:val="005D3F17"/>
    <w:rsid w:val="00612517"/>
    <w:rsid w:val="00643236"/>
    <w:rsid w:val="00676207"/>
    <w:rsid w:val="00694080"/>
    <w:rsid w:val="006A2F9D"/>
    <w:rsid w:val="006B3EC2"/>
    <w:rsid w:val="006C3C8B"/>
    <w:rsid w:val="006C6573"/>
    <w:rsid w:val="006F4CCA"/>
    <w:rsid w:val="00706441"/>
    <w:rsid w:val="00722E57"/>
    <w:rsid w:val="0073482E"/>
    <w:rsid w:val="00766C10"/>
    <w:rsid w:val="007671E5"/>
    <w:rsid w:val="007750F6"/>
    <w:rsid w:val="00793030"/>
    <w:rsid w:val="007C06DF"/>
    <w:rsid w:val="007D0D3C"/>
    <w:rsid w:val="007E3956"/>
    <w:rsid w:val="0083181C"/>
    <w:rsid w:val="008B3B7D"/>
    <w:rsid w:val="008E2CA7"/>
    <w:rsid w:val="008E7683"/>
    <w:rsid w:val="0090065A"/>
    <w:rsid w:val="00927DD1"/>
    <w:rsid w:val="00964AA4"/>
    <w:rsid w:val="009A0A4A"/>
    <w:rsid w:val="009A6162"/>
    <w:rsid w:val="009B5274"/>
    <w:rsid w:val="009F5FD8"/>
    <w:rsid w:val="00A21F58"/>
    <w:rsid w:val="00A57636"/>
    <w:rsid w:val="00A63BDE"/>
    <w:rsid w:val="00A90193"/>
    <w:rsid w:val="00AA1EB3"/>
    <w:rsid w:val="00AA5F37"/>
    <w:rsid w:val="00B02E80"/>
    <w:rsid w:val="00B07AD9"/>
    <w:rsid w:val="00B347A0"/>
    <w:rsid w:val="00B54E23"/>
    <w:rsid w:val="00B832C3"/>
    <w:rsid w:val="00BE2EFB"/>
    <w:rsid w:val="00BE5AFA"/>
    <w:rsid w:val="00C178B5"/>
    <w:rsid w:val="00C458A8"/>
    <w:rsid w:val="00C834BB"/>
    <w:rsid w:val="00CB2BD6"/>
    <w:rsid w:val="00CD1997"/>
    <w:rsid w:val="00CF149E"/>
    <w:rsid w:val="00D23054"/>
    <w:rsid w:val="00D263BC"/>
    <w:rsid w:val="00D364AC"/>
    <w:rsid w:val="00D45047"/>
    <w:rsid w:val="00D711AC"/>
    <w:rsid w:val="00DA2DDF"/>
    <w:rsid w:val="00DB55C6"/>
    <w:rsid w:val="00DF4336"/>
    <w:rsid w:val="00E00782"/>
    <w:rsid w:val="00E3127F"/>
    <w:rsid w:val="00E469C8"/>
    <w:rsid w:val="00E56BC1"/>
    <w:rsid w:val="00E6083A"/>
    <w:rsid w:val="00E877A8"/>
    <w:rsid w:val="00EB0976"/>
    <w:rsid w:val="00F228C0"/>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FFE19673-7EF8-4C3E-84FC-A5968CE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ush@cabq.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LNDRS@cabq.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5CC1-1174-40B8-B4DC-F492B876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10</cp:revision>
  <cp:lastPrinted>2022-12-06T17:20:00Z</cp:lastPrinted>
  <dcterms:created xsi:type="dcterms:W3CDTF">2021-02-23T23:37:00Z</dcterms:created>
  <dcterms:modified xsi:type="dcterms:W3CDTF">2023-01-17T18:47:00Z</dcterms:modified>
</cp:coreProperties>
</file>