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EE2A4C" w:rsidP="008F0E6B">
      <w:r>
        <w:t>April 9</w:t>
      </w:r>
      <w:r w:rsidR="00351680">
        <w:t>,</w:t>
      </w:r>
      <w:r w:rsidR="00FC3E3D">
        <w:t xml:space="preserve"> 201</w:t>
      </w:r>
      <w:r>
        <w:t>5</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351680" w:rsidRDefault="009E759E" w:rsidP="0035168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w:t>
      </w:r>
      <w:r w:rsidR="00EE2A4C">
        <w:rPr>
          <w:b/>
          <w:sz w:val="24"/>
        </w:rPr>
        <w:t xml:space="preserve">6, </w:t>
      </w:r>
      <w:r w:rsidR="00351680">
        <w:rPr>
          <w:b/>
          <w:sz w:val="24"/>
        </w:rPr>
        <w:t>7, 8</w:t>
      </w:r>
      <w:r w:rsidR="00EE2A4C">
        <w:rPr>
          <w:b/>
          <w:sz w:val="24"/>
        </w:rPr>
        <w:t>, 10</w:t>
      </w:r>
      <w:r w:rsidR="00351680">
        <w:rPr>
          <w:b/>
          <w:sz w:val="24"/>
        </w:rPr>
        <w:t xml:space="preserve"> and </w:t>
      </w:r>
      <w:r w:rsidR="00EE2A4C">
        <w:rPr>
          <w:b/>
          <w:sz w:val="24"/>
        </w:rPr>
        <w:t>11</w:t>
      </w:r>
      <w:r w:rsidR="00351680">
        <w:rPr>
          <w:b/>
          <w:sz w:val="24"/>
        </w:rPr>
        <w:t xml:space="preserve"> </w:t>
      </w:r>
    </w:p>
    <w:p w:rsidR="009E759E" w:rsidRDefault="00FC3E3D" w:rsidP="00E9580D">
      <w:pPr>
        <w:pStyle w:val="ReferenceLine"/>
        <w:ind w:left="720" w:right="-396"/>
        <w:rPr>
          <w:sz w:val="24"/>
        </w:rPr>
      </w:pPr>
      <w:r>
        <w:rPr>
          <w:b/>
          <w:sz w:val="24"/>
        </w:rPr>
        <w:t>2300 Diamond Mesa Trail</w:t>
      </w:r>
      <w:r w:rsidR="00621EF3">
        <w:rPr>
          <w:b/>
          <w:sz w:val="24"/>
        </w:rPr>
        <w:t xml:space="preserve">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w:t>
      </w:r>
      <w:r w:rsidR="00EE2A4C">
        <w:t xml:space="preserve"> and the revised phasing exhibit dated 07-14-14</w:t>
      </w:r>
      <w:r>
        <w:t>,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0B1E07">
        <w:t>6</w:t>
      </w:r>
      <w:r>
        <w:t xml:space="preserve">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w:t>
      </w:r>
      <w:r w:rsidR="008B5B3F">
        <w:t xml:space="preserve"> 924-3</w:t>
      </w:r>
      <w:r w:rsidR="00351680">
        <w:t>986</w:t>
      </w:r>
      <w:r>
        <w:t>.</w:t>
      </w:r>
    </w:p>
    <w:p w:rsidR="009E759E" w:rsidRDefault="009E759E">
      <w:pPr>
        <w:ind w:right="-396"/>
      </w:pPr>
    </w:p>
    <w:p w:rsidR="009E759E" w:rsidRDefault="009E759E" w:rsidP="008B5B3F">
      <w:pPr>
        <w:ind w:left="2160" w:right="-396" w:firstLine="720"/>
      </w:pPr>
      <w:r>
        <w:t>Sincerely,</w:t>
      </w:r>
    </w:p>
    <w:p w:rsidR="008C7753" w:rsidRDefault="008C7753">
      <w:pPr>
        <w:ind w:right="-396"/>
      </w:pPr>
    </w:p>
    <w:p w:rsidR="009E759E" w:rsidRDefault="009E759E">
      <w:pPr>
        <w:ind w:right="-396"/>
      </w:pPr>
      <w:r>
        <w:tab/>
      </w:r>
      <w:r>
        <w:tab/>
      </w:r>
      <w:r>
        <w:tab/>
      </w:r>
      <w:r>
        <w:tab/>
      </w:r>
      <w:r>
        <w:tab/>
      </w:r>
      <w:r>
        <w:tab/>
      </w:r>
      <w:r>
        <w:tab/>
      </w:r>
    </w:p>
    <w:p w:rsidR="008B5B3F" w:rsidRPr="00486DC3" w:rsidRDefault="00EE2A4C" w:rsidP="008B5B3F">
      <w:pPr>
        <w:ind w:left="2160" w:firstLine="720"/>
      </w:pPr>
      <w:r>
        <w:t>Rita Harmon</w:t>
      </w:r>
      <w:r w:rsidR="008B5B3F" w:rsidRPr="00486DC3">
        <w:t>, P.E.</w:t>
      </w:r>
    </w:p>
    <w:p w:rsidR="008B5B3F" w:rsidRPr="00486DC3" w:rsidRDefault="008B5B3F" w:rsidP="008B5B3F">
      <w:r>
        <w:tab/>
      </w:r>
      <w:r>
        <w:tab/>
      </w:r>
      <w:r>
        <w:tab/>
      </w:r>
      <w:r>
        <w:tab/>
      </w:r>
      <w:r w:rsidR="00EE2A4C">
        <w:t>Senior</w:t>
      </w:r>
      <w:bookmarkStart w:id="0" w:name="_GoBack"/>
      <w:bookmarkEnd w:id="0"/>
      <w:r w:rsidRPr="00486DC3">
        <w:t xml:space="preserve"> Engineer</w:t>
      </w:r>
      <w:r>
        <w:t>,</w:t>
      </w:r>
      <w:r w:rsidR="000B1E07">
        <w:t xml:space="preserve"> Hydrology</w:t>
      </w:r>
    </w:p>
    <w:p w:rsidR="009E759E" w:rsidRDefault="008B5B3F" w:rsidP="008B5B3F">
      <w:pPr>
        <w:ind w:right="-396"/>
      </w:pPr>
      <w:r>
        <w:tab/>
      </w:r>
      <w:r>
        <w:tab/>
      </w:r>
      <w:r>
        <w:tab/>
      </w:r>
      <w:r>
        <w:tab/>
      </w:r>
      <w:r w:rsidR="000B1E07">
        <w:t>Planning Dept.</w:t>
      </w: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w:t>
      </w:r>
      <w:r w:rsidR="00FC3E3D">
        <w:t>Carol Quintana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rsidSect="008F6D84">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B1E07"/>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1680"/>
    <w:rsid w:val="00352EB0"/>
    <w:rsid w:val="00372967"/>
    <w:rsid w:val="00387C3A"/>
    <w:rsid w:val="003A76AC"/>
    <w:rsid w:val="003C428D"/>
    <w:rsid w:val="004044E4"/>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B4CB9"/>
    <w:rsid w:val="005C0C51"/>
    <w:rsid w:val="005C724E"/>
    <w:rsid w:val="005D2A85"/>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5B3F"/>
    <w:rsid w:val="008B6F26"/>
    <w:rsid w:val="008B6F6D"/>
    <w:rsid w:val="008C7753"/>
    <w:rsid w:val="008D3DB3"/>
    <w:rsid w:val="008F0E6B"/>
    <w:rsid w:val="008F5348"/>
    <w:rsid w:val="008F6D84"/>
    <w:rsid w:val="0093122A"/>
    <w:rsid w:val="00946A6D"/>
    <w:rsid w:val="0095673A"/>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BD51F8"/>
    <w:rsid w:val="00BE4F7C"/>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EE2A4C"/>
    <w:rsid w:val="00F01CDF"/>
    <w:rsid w:val="00F17CC9"/>
    <w:rsid w:val="00F30491"/>
    <w:rsid w:val="00F84644"/>
    <w:rsid w:val="00FC2E54"/>
    <w:rsid w:val="00FC3E3D"/>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Michel, Racquel M.</cp:lastModifiedBy>
  <cp:revision>2</cp:revision>
  <cp:lastPrinted>2014-09-18T14:40:00Z</cp:lastPrinted>
  <dcterms:created xsi:type="dcterms:W3CDTF">2015-04-09T22:05:00Z</dcterms:created>
  <dcterms:modified xsi:type="dcterms:W3CDTF">2015-04-09T22:05:00Z</dcterms:modified>
</cp:coreProperties>
</file>